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项目编号：YNCG（2026）022</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10KV及以下高低压配电系统预防性试验采购项目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资中县中医医院药械采购中心编制</w:t>
      </w:r>
    </w:p>
    <w:p w14:paraId="3F976D1F">
      <w:pPr>
        <w:pStyle w:val="13"/>
        <w:widowControl w:val="0"/>
        <w:numPr>
          <w:ilvl w:val="0"/>
          <w:numId w:val="0"/>
        </w:numPr>
        <w:spacing w:after="120"/>
        <w:jc w:val="center"/>
        <w:rPr>
          <w:rFonts w:hint="eastAsia" w:hAnsi="宋体" w:cs="宋体"/>
          <w:b/>
          <w:bCs w:val="0"/>
          <w:color w:val="auto"/>
          <w:sz w:val="32"/>
          <w:szCs w:val="32"/>
          <w:highlight w:val="none"/>
          <w:lang w:val="en-US" w:eastAsia="zh-CN"/>
        </w:rPr>
      </w:pPr>
      <w:r>
        <w:rPr>
          <w:rFonts w:hint="eastAsia" w:hAnsi="宋体" w:cs="宋体"/>
          <w:b/>
          <w:color w:val="auto"/>
          <w:sz w:val="32"/>
          <w:szCs w:val="32"/>
          <w:highlight w:val="none"/>
          <w:lang w:val="en-US" w:eastAsia="zh-CN"/>
        </w:rPr>
        <w:t>资中县中医医院后勤科共同编制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二〇二六年五月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10KV及以下高低压配电系统预防性试验采购项目询价公告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1、项目名称：资中县中医医院10KV及以下高低压配电系统预防性试验采购项目。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2、项目编号：YNCG（2026）022。</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5、项目概况：由于医院需对10KV及以下高低压配电系统进行预防性试验，需采购1家具有资质的专业公司开展预防性试验并出具检测报告，特实施本次采购招标工作。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价：19000.00元。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9、时间要求：确认中标并签订合同后，在</w:t>
      </w:r>
      <w:r>
        <w:rPr>
          <w:rFonts w:hint="eastAsia" w:ascii="Times New Roman" w:hAnsi="Times New Roman" w:cs="仿宋_GB2312"/>
          <w:b w:val="0"/>
          <w:bCs w:val="0"/>
          <w:sz w:val="32"/>
          <w:szCs w:val="32"/>
          <w:highlight w:val="none"/>
          <w:lang w:val="en-US" w:eastAsia="zh-CN"/>
        </w:rPr>
        <w:t>1</w:t>
      </w:r>
      <w:r>
        <w:rPr>
          <w:rFonts w:hint="eastAsia" w:ascii="Times New Roman" w:hAnsi="Times New Roman" w:eastAsia="仿宋_GB2312" w:cs="仿宋_GB2312"/>
          <w:b w:val="0"/>
          <w:bCs w:val="0"/>
          <w:sz w:val="32"/>
          <w:szCs w:val="32"/>
          <w:highlight w:val="none"/>
          <w:lang w:val="en-US" w:eastAsia="zh-CN"/>
        </w:rPr>
        <w:t>0日内完成。</w:t>
      </w:r>
    </w:p>
    <w:p w14:paraId="67171FD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10、项目类别：服务采购。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3、具有《承装（修、试）电力设施许可证》的供应商；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投标文件递交截止时间：2026年6月1日12时00分（北京时间）前。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开标时间：2026年6月1日16时0</w:t>
      </w:r>
      <w:bookmarkStart w:id="21" w:name="_GoBack"/>
      <w:bookmarkEnd w:id="21"/>
      <w:r>
        <w:rPr>
          <w:rFonts w:hint="eastAsia" w:ascii="Times New Roman" w:hAnsi="Times New Roman" w:eastAsia="仿宋_GB2312" w:cs="仿宋_GB2312"/>
          <w:b w:val="0"/>
          <w:bCs w:val="0"/>
          <w:sz w:val="32"/>
          <w:szCs w:val="32"/>
          <w:highlight w:val="none"/>
          <w:lang w:val="en-US" w:eastAsia="zh-CN"/>
        </w:rPr>
        <w:t>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地点：资中县中医医院综合楼4楼会议室。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2026年5月26日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3、具有《承装（修、试）电力设施许可证》的供应商；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4088FB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w:t>
      </w:r>
    </w:p>
    <w:tbl>
      <w:tblPr>
        <w:tblStyle w:val="1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686"/>
        <w:gridCol w:w="1608"/>
        <w:gridCol w:w="692"/>
        <w:gridCol w:w="770"/>
        <w:gridCol w:w="1724"/>
        <w:gridCol w:w="1484"/>
      </w:tblGrid>
      <w:tr w14:paraId="5D8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50" w:type="dxa"/>
            <w:vAlign w:val="center"/>
          </w:tcPr>
          <w:p w14:paraId="2954B8DC">
            <w:pPr>
              <w:keepNext w:val="0"/>
              <w:keepLines w:val="0"/>
              <w:widowControl/>
              <w:suppressLineNumbers w:val="0"/>
              <w:jc w:val="center"/>
              <w:textAlignment w:val="center"/>
              <w:rPr>
                <w:rFonts w:hint="eastAsia" w:ascii="黑体" w:hAnsi="黑体" w:eastAsia="黑体" w:cs="黑体"/>
                <w:b/>
                <w:bCs/>
                <w:i w:val="0"/>
                <w:iCs w:val="0"/>
                <w:color w:val="000000"/>
                <w:kern w:val="0"/>
                <w:sz w:val="24"/>
                <w:szCs w:val="24"/>
                <w:highlight w:val="none"/>
                <w:u w:val="none"/>
                <w:lang w:val="en-US" w:eastAsia="zh-CN" w:bidi="ar"/>
              </w:rPr>
            </w:pPr>
            <w:r>
              <w:rPr>
                <w:rFonts w:hint="eastAsia" w:ascii="黑体" w:hAnsi="黑体" w:eastAsia="黑体" w:cs="黑体"/>
                <w:b/>
                <w:bCs/>
                <w:i w:val="0"/>
                <w:iCs w:val="0"/>
                <w:color w:val="000000"/>
                <w:kern w:val="0"/>
                <w:sz w:val="24"/>
                <w:szCs w:val="24"/>
                <w:highlight w:val="none"/>
                <w:u w:val="none"/>
                <w:lang w:val="en-US" w:eastAsia="zh-CN" w:bidi="ar"/>
              </w:rPr>
              <w:t>序号</w:t>
            </w:r>
          </w:p>
        </w:tc>
        <w:tc>
          <w:tcPr>
            <w:tcW w:w="1686" w:type="dxa"/>
            <w:shd w:val="clear" w:color="auto" w:fill="auto"/>
            <w:vAlign w:val="center"/>
          </w:tcPr>
          <w:p w14:paraId="461648B2">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项目名称</w:t>
            </w:r>
          </w:p>
        </w:tc>
        <w:tc>
          <w:tcPr>
            <w:tcW w:w="1608" w:type="dxa"/>
            <w:shd w:val="clear" w:color="auto" w:fill="auto"/>
            <w:vAlign w:val="center"/>
          </w:tcPr>
          <w:p w14:paraId="44F26B52">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bCs/>
                <w:i w:val="0"/>
                <w:iCs w:val="0"/>
                <w:color w:val="000000"/>
                <w:kern w:val="0"/>
                <w:sz w:val="24"/>
                <w:szCs w:val="24"/>
                <w:highlight w:val="none"/>
                <w:u w:val="none"/>
                <w:lang w:val="en-US" w:eastAsia="zh-CN" w:bidi="ar"/>
              </w:rPr>
              <w:t>规 格</w:t>
            </w:r>
          </w:p>
        </w:tc>
        <w:tc>
          <w:tcPr>
            <w:tcW w:w="692" w:type="dxa"/>
            <w:shd w:val="clear" w:color="auto" w:fill="auto"/>
            <w:vAlign w:val="center"/>
          </w:tcPr>
          <w:p w14:paraId="4A3370C2">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单位</w:t>
            </w:r>
          </w:p>
        </w:tc>
        <w:tc>
          <w:tcPr>
            <w:tcW w:w="770" w:type="dxa"/>
            <w:shd w:val="clear" w:color="auto" w:fill="auto"/>
            <w:vAlign w:val="center"/>
          </w:tcPr>
          <w:p w14:paraId="05D9441C">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bCs/>
                <w:i w:val="0"/>
                <w:iCs w:val="0"/>
                <w:color w:val="000000"/>
                <w:kern w:val="0"/>
                <w:sz w:val="24"/>
                <w:szCs w:val="24"/>
                <w:highlight w:val="none"/>
                <w:u w:val="none"/>
                <w:lang w:val="en-US" w:eastAsia="zh-CN" w:bidi="ar"/>
              </w:rPr>
              <w:t>数量</w:t>
            </w:r>
          </w:p>
        </w:tc>
        <w:tc>
          <w:tcPr>
            <w:tcW w:w="1724" w:type="dxa"/>
            <w:shd w:val="clear" w:color="auto" w:fill="auto"/>
            <w:vAlign w:val="center"/>
          </w:tcPr>
          <w:p w14:paraId="0AC34DA9">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bCs/>
                <w:i w:val="0"/>
                <w:iCs w:val="0"/>
                <w:color w:val="000000"/>
                <w:kern w:val="0"/>
                <w:sz w:val="24"/>
                <w:szCs w:val="24"/>
                <w:highlight w:val="none"/>
                <w:u w:val="none"/>
                <w:lang w:val="en-US" w:eastAsia="zh-CN" w:bidi="ar"/>
              </w:rPr>
              <w:t>单价限价（元）</w:t>
            </w:r>
          </w:p>
        </w:tc>
        <w:tc>
          <w:tcPr>
            <w:tcW w:w="1484" w:type="dxa"/>
            <w:shd w:val="clear" w:color="auto" w:fill="auto"/>
            <w:vAlign w:val="center"/>
          </w:tcPr>
          <w:p w14:paraId="4BE4FC84">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总价（元）</w:t>
            </w:r>
          </w:p>
        </w:tc>
      </w:tr>
      <w:tr w14:paraId="33AF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50" w:type="dxa"/>
            <w:vAlign w:val="center"/>
          </w:tcPr>
          <w:p w14:paraId="537D176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686" w:type="dxa"/>
            <w:shd w:val="clear" w:color="auto" w:fill="auto"/>
            <w:vAlign w:val="center"/>
          </w:tcPr>
          <w:p w14:paraId="0F07763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变压器试验</w:t>
            </w:r>
          </w:p>
        </w:tc>
        <w:tc>
          <w:tcPr>
            <w:tcW w:w="1608" w:type="dxa"/>
            <w:shd w:val="clear" w:color="auto" w:fill="auto"/>
            <w:vAlign w:val="center"/>
          </w:tcPr>
          <w:p w14:paraId="766E425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SCB11-1250</w:t>
            </w:r>
            <w:r>
              <w:rPr>
                <w:rFonts w:hint="eastAsia" w:ascii="宋体" w:hAnsi="宋体" w:eastAsia="宋体" w:cs="宋体"/>
                <w:i w:val="0"/>
                <w:iCs w:val="0"/>
                <w:color w:val="000000"/>
                <w:kern w:val="0"/>
                <w:sz w:val="24"/>
                <w:szCs w:val="24"/>
                <w:highlight w:val="none"/>
                <w:u w:val="none"/>
                <w:lang w:val="en-US" w:eastAsia="zh-CN" w:bidi="ar"/>
              </w:rPr>
              <w:t>/10/0.4KV</w:t>
            </w:r>
          </w:p>
        </w:tc>
        <w:tc>
          <w:tcPr>
            <w:tcW w:w="692" w:type="dxa"/>
            <w:vMerge w:val="restart"/>
            <w:shd w:val="clear" w:color="auto" w:fill="auto"/>
            <w:vAlign w:val="center"/>
          </w:tcPr>
          <w:p w14:paraId="0449AC29">
            <w:pPr>
              <w:keepNext w:val="0"/>
              <w:keepLines w:val="0"/>
              <w:widowControl/>
              <w:suppressLineNumbers w:val="0"/>
              <w:spacing w:line="240" w:lineRule="auto"/>
              <w:ind w:firstLine="240" w:firstLineChars="10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kern w:val="2"/>
                <w:sz w:val="24"/>
                <w:szCs w:val="24"/>
                <w:highlight w:val="none"/>
                <w:vertAlign w:val="baseline"/>
                <w:lang w:val="en-US" w:eastAsia="zh-CN" w:bidi="ar-SA"/>
              </w:rPr>
              <w:t>套</w:t>
            </w:r>
          </w:p>
        </w:tc>
        <w:tc>
          <w:tcPr>
            <w:tcW w:w="770" w:type="dxa"/>
            <w:vMerge w:val="restart"/>
            <w:shd w:val="clear" w:color="auto" w:fill="auto"/>
            <w:vAlign w:val="center"/>
          </w:tcPr>
          <w:p w14:paraId="52C893A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724" w:type="dxa"/>
            <w:vMerge w:val="restart"/>
            <w:shd w:val="clear" w:color="auto" w:fill="auto"/>
            <w:vAlign w:val="center"/>
          </w:tcPr>
          <w:p w14:paraId="35CB31E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3800</w:t>
            </w:r>
          </w:p>
        </w:tc>
        <w:tc>
          <w:tcPr>
            <w:tcW w:w="1484" w:type="dxa"/>
            <w:vMerge w:val="restart"/>
            <w:shd w:val="clear" w:color="auto" w:fill="auto"/>
            <w:vAlign w:val="center"/>
          </w:tcPr>
          <w:p w14:paraId="7BC92B9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r>
              <w:rPr>
                <w:rFonts w:hint="eastAsia" w:ascii="Times New Roman" w:hAnsi="Times New Roman" w:eastAsia="仿宋_GB2312" w:cs="仿宋_GB2312"/>
                <w:b w:val="0"/>
                <w:bCs w:val="0"/>
                <w:kern w:val="2"/>
                <w:sz w:val="24"/>
                <w:szCs w:val="24"/>
                <w:highlight w:val="none"/>
                <w:vertAlign w:val="baseline"/>
                <w:lang w:val="en-US" w:eastAsia="zh-CN" w:bidi="ar-SA"/>
              </w:rPr>
              <w:t>19000</w:t>
            </w:r>
          </w:p>
        </w:tc>
      </w:tr>
      <w:tr w14:paraId="3755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14:paraId="29447FC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2</w:t>
            </w:r>
          </w:p>
        </w:tc>
        <w:tc>
          <w:tcPr>
            <w:tcW w:w="1686" w:type="dxa"/>
            <w:shd w:val="clear" w:color="auto" w:fill="auto"/>
            <w:vAlign w:val="center"/>
          </w:tcPr>
          <w:p w14:paraId="2A83D88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电缆试验</w:t>
            </w:r>
          </w:p>
        </w:tc>
        <w:tc>
          <w:tcPr>
            <w:tcW w:w="1608" w:type="dxa"/>
            <w:shd w:val="clear" w:color="auto" w:fill="auto"/>
            <w:vAlign w:val="center"/>
          </w:tcPr>
          <w:p w14:paraId="519944FB">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YJLV22-8.7</w:t>
            </w:r>
            <w:r>
              <w:rPr>
                <w:rFonts w:hint="eastAsia" w:ascii="宋体" w:hAnsi="宋体" w:eastAsia="宋体" w:cs="宋体"/>
                <w:i w:val="0"/>
                <w:iCs w:val="0"/>
                <w:color w:val="000000"/>
                <w:kern w:val="0"/>
                <w:sz w:val="24"/>
                <w:szCs w:val="24"/>
                <w:highlight w:val="none"/>
                <w:u w:val="none"/>
                <w:lang w:val="en-US" w:eastAsia="zh-CN" w:bidi="ar"/>
              </w:rPr>
              <w:t>/15KV-3</w:t>
            </w:r>
            <w:r>
              <w:rPr>
                <w:rFonts w:hint="eastAsia" w:ascii="仿宋" w:hAnsi="仿宋" w:eastAsia="仿宋" w:cs="仿宋"/>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95</w:t>
            </w:r>
          </w:p>
        </w:tc>
        <w:tc>
          <w:tcPr>
            <w:tcW w:w="692" w:type="dxa"/>
            <w:vMerge w:val="continue"/>
            <w:shd w:val="clear" w:color="auto" w:fill="auto"/>
            <w:vAlign w:val="center"/>
          </w:tcPr>
          <w:p w14:paraId="0D775425">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p>
        </w:tc>
        <w:tc>
          <w:tcPr>
            <w:tcW w:w="770" w:type="dxa"/>
            <w:vMerge w:val="continue"/>
            <w:shd w:val="clear" w:color="auto" w:fill="auto"/>
            <w:vAlign w:val="center"/>
          </w:tcPr>
          <w:p w14:paraId="4227BA5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c>
          <w:tcPr>
            <w:tcW w:w="1724" w:type="dxa"/>
            <w:vMerge w:val="continue"/>
            <w:shd w:val="clear" w:color="auto" w:fill="auto"/>
            <w:vAlign w:val="center"/>
          </w:tcPr>
          <w:p w14:paraId="55C121C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c>
          <w:tcPr>
            <w:tcW w:w="1484" w:type="dxa"/>
            <w:vMerge w:val="continue"/>
            <w:shd w:val="clear" w:color="auto" w:fill="auto"/>
            <w:vAlign w:val="center"/>
          </w:tcPr>
          <w:p w14:paraId="41B50D2B">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27B9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14:paraId="4C6A2093">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3</w:t>
            </w:r>
          </w:p>
        </w:tc>
        <w:tc>
          <w:tcPr>
            <w:tcW w:w="1686" w:type="dxa"/>
            <w:shd w:val="clear" w:color="auto" w:fill="auto"/>
            <w:vAlign w:val="center"/>
          </w:tcPr>
          <w:p w14:paraId="564AABD2">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保护装置逻辑功能定值设定</w:t>
            </w:r>
          </w:p>
        </w:tc>
        <w:tc>
          <w:tcPr>
            <w:tcW w:w="1608" w:type="dxa"/>
            <w:shd w:val="clear" w:color="auto" w:fill="auto"/>
            <w:vAlign w:val="center"/>
          </w:tcPr>
          <w:p w14:paraId="054705CF">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KYN28-G8高压柜</w:t>
            </w:r>
          </w:p>
        </w:tc>
        <w:tc>
          <w:tcPr>
            <w:tcW w:w="692" w:type="dxa"/>
            <w:vMerge w:val="continue"/>
            <w:shd w:val="clear" w:color="auto" w:fill="auto"/>
            <w:vAlign w:val="center"/>
          </w:tcPr>
          <w:p w14:paraId="46F899E0">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p>
        </w:tc>
        <w:tc>
          <w:tcPr>
            <w:tcW w:w="770" w:type="dxa"/>
            <w:vMerge w:val="continue"/>
            <w:shd w:val="clear" w:color="auto" w:fill="auto"/>
            <w:vAlign w:val="center"/>
          </w:tcPr>
          <w:p w14:paraId="6029DC85">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1724" w:type="dxa"/>
            <w:vMerge w:val="continue"/>
            <w:shd w:val="clear" w:color="auto" w:fill="auto"/>
            <w:vAlign w:val="center"/>
          </w:tcPr>
          <w:p w14:paraId="1CE1BC51">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1484" w:type="dxa"/>
            <w:vMerge w:val="continue"/>
            <w:shd w:val="clear" w:color="auto" w:fill="auto"/>
            <w:vAlign w:val="center"/>
          </w:tcPr>
          <w:p w14:paraId="03AE8B25">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4605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0" w:type="dxa"/>
            <w:vAlign w:val="center"/>
          </w:tcPr>
          <w:p w14:paraId="636D33C4">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4</w:t>
            </w:r>
          </w:p>
        </w:tc>
        <w:tc>
          <w:tcPr>
            <w:tcW w:w="1686" w:type="dxa"/>
            <w:shd w:val="clear" w:color="auto" w:fill="auto"/>
            <w:vAlign w:val="center"/>
          </w:tcPr>
          <w:p w14:paraId="3B198E25">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接地电阻测试</w:t>
            </w:r>
          </w:p>
        </w:tc>
        <w:tc>
          <w:tcPr>
            <w:tcW w:w="1608" w:type="dxa"/>
            <w:shd w:val="clear" w:color="auto" w:fill="auto"/>
            <w:vAlign w:val="center"/>
          </w:tcPr>
          <w:p w14:paraId="6FD97EED">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SCB14-</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1250</w:t>
            </w:r>
            <w:r>
              <w:rPr>
                <w:rFonts w:hint="eastAsia" w:ascii="宋体" w:hAnsi="宋体" w:eastAsia="宋体" w:cs="宋体"/>
                <w:i w:val="0"/>
                <w:iCs w:val="0"/>
                <w:color w:val="000000"/>
                <w:kern w:val="0"/>
                <w:sz w:val="24"/>
                <w:szCs w:val="24"/>
                <w:highlight w:val="none"/>
                <w:u w:val="none"/>
                <w:lang w:val="en-US" w:eastAsia="zh-CN" w:bidi="ar"/>
              </w:rPr>
              <w:t>/10/0.4KV</w:t>
            </w:r>
          </w:p>
        </w:tc>
        <w:tc>
          <w:tcPr>
            <w:tcW w:w="692" w:type="dxa"/>
            <w:vMerge w:val="continue"/>
            <w:shd w:val="clear" w:color="auto" w:fill="auto"/>
            <w:vAlign w:val="center"/>
          </w:tcPr>
          <w:p w14:paraId="7264D262">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p>
        </w:tc>
        <w:tc>
          <w:tcPr>
            <w:tcW w:w="770" w:type="dxa"/>
            <w:vMerge w:val="continue"/>
            <w:shd w:val="clear" w:color="auto" w:fill="auto"/>
            <w:vAlign w:val="center"/>
          </w:tcPr>
          <w:p w14:paraId="5EFA4083">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1724" w:type="dxa"/>
            <w:vMerge w:val="continue"/>
            <w:shd w:val="clear" w:color="auto" w:fill="auto"/>
            <w:vAlign w:val="center"/>
          </w:tcPr>
          <w:p w14:paraId="190EDE90">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1484" w:type="dxa"/>
            <w:vMerge w:val="continue"/>
            <w:shd w:val="clear" w:color="auto" w:fill="auto"/>
            <w:vAlign w:val="center"/>
          </w:tcPr>
          <w:p w14:paraId="632CC54B">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bl>
    <w:p w14:paraId="5250F944">
      <w:pPr>
        <w:pStyle w:val="6"/>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注：本章服务要求为实质性要求，供应商若未满足的，将被视为无效响应。</w:t>
      </w:r>
    </w:p>
    <w:p w14:paraId="28842F69">
      <w:pPr>
        <w:pStyle w:val="6"/>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6"/>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3、每单项报价不超过预算单价。</w:t>
      </w:r>
    </w:p>
    <w:p w14:paraId="7CECCBB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五、均应以人民币报价，金额单位元。报价只能有一个报价，不接受有选择的报价。大写金额和小写金额不一致的，以大写金额为准。</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1、投标文件递交截止时间：2026年6月1日12时00分（北京时间）前；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3、开标时间：2026年6月1日16时00分（北京时间）；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4、地点：资中县中医医院综合楼4楼会议室。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式：成交供应商试验</w:t>
      </w:r>
      <w:r>
        <w:rPr>
          <w:rFonts w:hint="eastAsia" w:ascii="Times New Roman" w:hAnsi="Times New Roman" w:eastAsia="仿宋_GB2312" w:cs="仿宋_GB2312"/>
          <w:b w:val="0"/>
          <w:bCs w:val="0"/>
          <w:sz w:val="32"/>
          <w:szCs w:val="32"/>
          <w:highlight w:val="none"/>
          <w:lang w:val="en-US" w:eastAsia="zh-CN"/>
        </w:rPr>
        <w:t>完毕并出具检测报告</w:t>
      </w:r>
      <w:r>
        <w:rPr>
          <w:rFonts w:hint="eastAsia" w:ascii="Times New Roman" w:hAnsi="Times New Roman" w:eastAsia="仿宋_GB2312" w:cs="仿宋_GB2312"/>
          <w:b w:val="0"/>
          <w:bCs w:val="0"/>
          <w:sz w:val="32"/>
          <w:szCs w:val="32"/>
          <w:highlight w:val="none"/>
          <w:lang w:val="en-US" w:eastAsia="zh-CN"/>
        </w:rPr>
        <w:t>验后，向医院开据正规发票，医院凭正规发票、检测</w:t>
      </w:r>
      <w:r>
        <w:rPr>
          <w:rFonts w:hint="eastAsia" w:ascii="Times New Roman" w:hAnsi="Times New Roman" w:eastAsia="仿宋_GB2312" w:cs="仿宋_GB2312"/>
          <w:b w:val="0"/>
          <w:bCs w:val="0"/>
          <w:sz w:val="32"/>
          <w:szCs w:val="32"/>
          <w:highlight w:val="none"/>
          <w:lang w:val="en-US" w:eastAsia="zh-CN"/>
        </w:rPr>
        <w:t>报告后达到付款条件之日起60日内向成交供应商指定账户支付合同价款100%。</w:t>
      </w:r>
    </w:p>
    <w:p w14:paraId="285E5EC1">
      <w:pPr>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3"/>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2"/>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第一部分_资格、资质性及其他类似效力投标文件(格式)"/>
      <w:bookmarkEnd w:id="0"/>
      <w:bookmarkStart w:id="1" w:name="(一)法定代表人/单位负责人授权书"/>
      <w:bookmarkEnd w:id="1"/>
      <w:bookmarkStart w:id="2" w:name="_bookmark51"/>
      <w:bookmarkEnd w:id="2"/>
      <w:bookmarkStart w:id="3" w:name="_bookmark52"/>
      <w:bookmarkEnd w:id="3"/>
      <w:bookmarkStart w:id="4" w:name="_Toc12636"/>
      <w:bookmarkStart w:id="5" w:name="_Toc1858"/>
      <w:bookmarkStart w:id="6" w:name="_Toc20067"/>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5"/>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4987"/>
      <w:bookmarkStart w:id="10" w:name="_Toc23093"/>
      <w:bookmarkStart w:id="11" w:name="_Toc10623"/>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5"/>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_bookmark54"/>
      <w:bookmarkEnd w:id="12"/>
      <w:bookmarkStart w:id="13" w:name="(三)投标人具有良好的商业信誉和健全的财务会计制度的证明材料"/>
      <w:bookmarkEnd w:id="13"/>
      <w:bookmarkStart w:id="14" w:name="(二)具有独立承担民事责任的能力的证明材料"/>
      <w:bookmarkEnd w:id="14"/>
      <w:bookmarkStart w:id="15" w:name="_Toc28047"/>
      <w:bookmarkStart w:id="16" w:name="_Toc27740"/>
      <w:bookmarkStart w:id="17" w:name="_Toc7534"/>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18931"/>
      <w:bookmarkStart w:id="19" w:name="_Toc20764"/>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7"/>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4"/>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1、在研究了资中县中医医院10KV及以下高低压配电系统预防性试验采购项目后，我们愿意按人民币（大写       元）（小写       元）的投标总价（附分项报价表），遵照招标文件（含补充文件）的要求承担本招标项目的实施，完成本次招标项目全部内容。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025033D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eastAsia" w:ascii="宋体" w:hAnsi="宋体" w:eastAsia="宋体" w:cs="宋体"/>
          <w:i w:val="0"/>
          <w:iCs w:val="0"/>
          <w:caps w:val="0"/>
          <w:color w:val="000000"/>
          <w:spacing w:val="0"/>
          <w:sz w:val="28"/>
          <w:szCs w:val="28"/>
          <w:highlight w:val="none"/>
          <w:shd w:val="clear" w:fill="FFFFFF"/>
        </w:rPr>
      </w:pP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eastAsia" w:ascii="宋体" w:hAnsi="宋体" w:eastAsia="宋体" w:cs="宋体"/>
          <w:i w:val="0"/>
          <w:iCs w:val="0"/>
          <w:caps w:val="0"/>
          <w:color w:val="000000"/>
          <w:spacing w:val="0"/>
          <w:sz w:val="28"/>
          <w:szCs w:val="28"/>
          <w:highlight w:val="none"/>
          <w:shd w:val="clear" w:fill="FFFFFF"/>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218"/>
        <w:gridCol w:w="2973"/>
        <w:gridCol w:w="1022"/>
        <w:gridCol w:w="1023"/>
        <w:gridCol w:w="1167"/>
        <w:gridCol w:w="1167"/>
        <w:gridCol w:w="1167"/>
        <w:gridCol w:w="1706"/>
      </w:tblGrid>
      <w:tr w14:paraId="66C4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4" w:type="pct"/>
            <w:vAlign w:val="center"/>
          </w:tcPr>
          <w:p w14:paraId="43949D76">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序号</w:t>
            </w:r>
          </w:p>
        </w:tc>
        <w:tc>
          <w:tcPr>
            <w:tcW w:w="1135" w:type="pct"/>
            <w:shd w:val="clear" w:color="auto" w:fill="auto"/>
            <w:vAlign w:val="center"/>
          </w:tcPr>
          <w:p w14:paraId="6C279B5C">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项目名称</w:t>
            </w:r>
          </w:p>
        </w:tc>
        <w:tc>
          <w:tcPr>
            <w:tcW w:w="1049" w:type="pct"/>
            <w:shd w:val="clear" w:color="auto" w:fill="auto"/>
            <w:vAlign w:val="center"/>
          </w:tcPr>
          <w:p w14:paraId="0C27062B">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规 格</w:t>
            </w:r>
          </w:p>
        </w:tc>
        <w:tc>
          <w:tcPr>
            <w:tcW w:w="360" w:type="pct"/>
            <w:shd w:val="clear" w:color="auto" w:fill="auto"/>
            <w:vAlign w:val="center"/>
          </w:tcPr>
          <w:p w14:paraId="05799173">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单位</w:t>
            </w:r>
          </w:p>
        </w:tc>
        <w:tc>
          <w:tcPr>
            <w:tcW w:w="361" w:type="pct"/>
            <w:shd w:val="clear" w:color="auto" w:fill="auto"/>
            <w:vAlign w:val="center"/>
          </w:tcPr>
          <w:p w14:paraId="78145976">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数量</w:t>
            </w:r>
          </w:p>
        </w:tc>
        <w:tc>
          <w:tcPr>
            <w:tcW w:w="411" w:type="pct"/>
            <w:shd w:val="clear" w:color="auto" w:fill="auto"/>
            <w:vAlign w:val="center"/>
          </w:tcPr>
          <w:p w14:paraId="51A4003E">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预算单价（元）</w:t>
            </w:r>
          </w:p>
        </w:tc>
        <w:tc>
          <w:tcPr>
            <w:tcW w:w="411" w:type="pct"/>
            <w:shd w:val="clear" w:color="auto" w:fill="auto"/>
            <w:vAlign w:val="center"/>
          </w:tcPr>
          <w:p w14:paraId="1954BF4B">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报价单价（元）</w:t>
            </w:r>
          </w:p>
        </w:tc>
        <w:tc>
          <w:tcPr>
            <w:tcW w:w="411" w:type="pct"/>
            <w:shd w:val="clear" w:color="auto" w:fill="auto"/>
            <w:vAlign w:val="center"/>
          </w:tcPr>
          <w:p w14:paraId="53FF9A80">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报价总价（元）</w:t>
            </w:r>
          </w:p>
        </w:tc>
        <w:tc>
          <w:tcPr>
            <w:tcW w:w="602" w:type="pct"/>
            <w:shd w:val="clear" w:color="auto" w:fill="auto"/>
            <w:vAlign w:val="center"/>
          </w:tcPr>
          <w:p w14:paraId="221559DF">
            <w:pPr>
              <w:keepNext w:val="0"/>
              <w:keepLines w:val="0"/>
              <w:widowControl/>
              <w:suppressLineNumbers w:val="0"/>
              <w:jc w:val="center"/>
              <w:textAlignment w:val="center"/>
              <w:rPr>
                <w:rFonts w:hint="eastAsia" w:ascii="黑体" w:hAnsi="黑体" w:eastAsia="黑体" w:cs="黑体"/>
                <w:b w:val="0"/>
                <w:bCs w:val="0"/>
                <w:kern w:val="2"/>
                <w:sz w:val="24"/>
                <w:szCs w:val="24"/>
                <w:highlight w:val="none"/>
                <w:vertAlign w:val="baseline"/>
                <w:lang w:val="en-US" w:eastAsia="zh-CN" w:bidi="ar-SA"/>
              </w:rPr>
            </w:pPr>
            <w:r>
              <w:rPr>
                <w:rFonts w:hint="eastAsia" w:ascii="黑体" w:hAnsi="黑体" w:eastAsia="黑体" w:cs="黑体"/>
                <w:b w:val="0"/>
                <w:bCs w:val="0"/>
                <w:kern w:val="2"/>
                <w:sz w:val="24"/>
                <w:szCs w:val="24"/>
                <w:highlight w:val="none"/>
                <w:vertAlign w:val="baseline"/>
                <w:lang w:val="en-US" w:eastAsia="zh-CN" w:bidi="ar-SA"/>
              </w:rPr>
              <w:t>备注</w:t>
            </w:r>
          </w:p>
        </w:tc>
      </w:tr>
      <w:tr w14:paraId="1BFF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 w:type="pct"/>
            <w:vAlign w:val="center"/>
          </w:tcPr>
          <w:p w14:paraId="2BB54A5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135" w:type="pct"/>
            <w:shd w:val="clear" w:color="auto" w:fill="auto"/>
            <w:vAlign w:val="center"/>
          </w:tcPr>
          <w:p w14:paraId="25CFC19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变压器试验</w:t>
            </w:r>
          </w:p>
        </w:tc>
        <w:tc>
          <w:tcPr>
            <w:tcW w:w="1049" w:type="pct"/>
            <w:shd w:val="clear" w:color="auto" w:fill="auto"/>
            <w:vAlign w:val="center"/>
          </w:tcPr>
          <w:p w14:paraId="554DE62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SCB11-1250</w:t>
            </w:r>
            <w:r>
              <w:rPr>
                <w:rFonts w:hint="eastAsia" w:ascii="宋体" w:hAnsi="宋体" w:eastAsia="宋体" w:cs="宋体"/>
                <w:i w:val="0"/>
                <w:iCs w:val="0"/>
                <w:color w:val="000000"/>
                <w:kern w:val="0"/>
                <w:sz w:val="24"/>
                <w:szCs w:val="24"/>
                <w:highlight w:val="none"/>
                <w:u w:val="none"/>
                <w:lang w:val="en-US" w:eastAsia="zh-CN" w:bidi="ar"/>
              </w:rPr>
              <w:t>/10/0.4KV</w:t>
            </w:r>
          </w:p>
        </w:tc>
        <w:tc>
          <w:tcPr>
            <w:tcW w:w="360" w:type="pct"/>
            <w:vMerge w:val="restart"/>
            <w:shd w:val="clear" w:color="auto" w:fill="auto"/>
            <w:vAlign w:val="center"/>
          </w:tcPr>
          <w:p w14:paraId="74DACB8D">
            <w:pPr>
              <w:keepNext w:val="0"/>
              <w:keepLines w:val="0"/>
              <w:widowControl/>
              <w:suppressLineNumbers w:val="0"/>
              <w:spacing w:line="240" w:lineRule="auto"/>
              <w:ind w:firstLine="240" w:firstLineChars="10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kern w:val="2"/>
                <w:sz w:val="24"/>
                <w:szCs w:val="24"/>
                <w:highlight w:val="none"/>
                <w:vertAlign w:val="baseline"/>
                <w:lang w:val="en-US" w:eastAsia="zh-CN" w:bidi="ar-SA"/>
              </w:rPr>
              <w:t>套</w:t>
            </w:r>
          </w:p>
        </w:tc>
        <w:tc>
          <w:tcPr>
            <w:tcW w:w="361" w:type="pct"/>
            <w:vMerge w:val="restart"/>
            <w:shd w:val="clear" w:color="auto" w:fill="auto"/>
            <w:vAlign w:val="center"/>
          </w:tcPr>
          <w:p w14:paraId="6838E1E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411" w:type="pct"/>
            <w:vMerge w:val="restart"/>
            <w:shd w:val="clear" w:color="auto" w:fill="auto"/>
            <w:vAlign w:val="center"/>
          </w:tcPr>
          <w:p w14:paraId="05133B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3800</w:t>
            </w:r>
          </w:p>
        </w:tc>
        <w:tc>
          <w:tcPr>
            <w:tcW w:w="411" w:type="pct"/>
            <w:vMerge w:val="restart"/>
            <w:shd w:val="clear" w:color="auto" w:fill="auto"/>
            <w:vAlign w:val="center"/>
          </w:tcPr>
          <w:p w14:paraId="50111B6A">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411" w:type="pct"/>
            <w:vMerge w:val="restart"/>
            <w:shd w:val="clear" w:color="auto" w:fill="auto"/>
            <w:vAlign w:val="center"/>
          </w:tcPr>
          <w:p w14:paraId="4F2A5BA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val="0"/>
                <w:bCs w:val="0"/>
                <w:kern w:val="2"/>
                <w:sz w:val="24"/>
                <w:szCs w:val="24"/>
                <w:highlight w:val="none"/>
                <w:vertAlign w:val="baseline"/>
                <w:lang w:val="en-US" w:eastAsia="zh-CN" w:bidi="ar-SA"/>
              </w:rPr>
            </w:pPr>
          </w:p>
        </w:tc>
        <w:tc>
          <w:tcPr>
            <w:tcW w:w="602" w:type="pct"/>
            <w:vMerge w:val="restart"/>
            <w:shd w:val="clear" w:color="auto" w:fill="auto"/>
            <w:vAlign w:val="center"/>
          </w:tcPr>
          <w:p w14:paraId="3C9E96F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b w:val="0"/>
                <w:bCs w:val="0"/>
                <w:kern w:val="2"/>
                <w:sz w:val="24"/>
                <w:szCs w:val="24"/>
                <w:highlight w:val="none"/>
                <w:vertAlign w:val="baseline"/>
                <w:lang w:val="en-US" w:eastAsia="zh-CN" w:bidi="ar-SA"/>
              </w:rPr>
            </w:pPr>
          </w:p>
        </w:tc>
      </w:tr>
      <w:tr w14:paraId="7B3E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54" w:type="pct"/>
            <w:vAlign w:val="center"/>
          </w:tcPr>
          <w:p w14:paraId="4A96A30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2</w:t>
            </w:r>
          </w:p>
        </w:tc>
        <w:tc>
          <w:tcPr>
            <w:tcW w:w="1135" w:type="pct"/>
            <w:shd w:val="clear" w:color="auto" w:fill="auto"/>
            <w:vAlign w:val="center"/>
          </w:tcPr>
          <w:p w14:paraId="3A971F9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电缆试验</w:t>
            </w:r>
          </w:p>
        </w:tc>
        <w:tc>
          <w:tcPr>
            <w:tcW w:w="1049" w:type="pct"/>
            <w:shd w:val="clear" w:color="auto" w:fill="auto"/>
            <w:vAlign w:val="center"/>
          </w:tcPr>
          <w:p w14:paraId="516E9EC3">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YJLV22-8.7</w:t>
            </w:r>
            <w:r>
              <w:rPr>
                <w:rFonts w:hint="eastAsia" w:ascii="宋体" w:hAnsi="宋体" w:eastAsia="宋体" w:cs="宋体"/>
                <w:i w:val="0"/>
                <w:iCs w:val="0"/>
                <w:color w:val="000000"/>
                <w:kern w:val="0"/>
                <w:sz w:val="24"/>
                <w:szCs w:val="24"/>
                <w:highlight w:val="none"/>
                <w:u w:val="none"/>
                <w:lang w:val="en-US" w:eastAsia="zh-CN" w:bidi="ar"/>
              </w:rPr>
              <w:t>/15KV-3</w:t>
            </w:r>
            <w:r>
              <w:rPr>
                <w:rFonts w:hint="eastAsia" w:ascii="仿宋" w:hAnsi="仿宋" w:eastAsia="仿宋" w:cs="仿宋"/>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95</w:t>
            </w:r>
          </w:p>
        </w:tc>
        <w:tc>
          <w:tcPr>
            <w:tcW w:w="360" w:type="pct"/>
            <w:vMerge w:val="continue"/>
            <w:shd w:val="clear" w:color="auto" w:fill="auto"/>
            <w:vAlign w:val="center"/>
          </w:tcPr>
          <w:p w14:paraId="612AE6A1">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p>
        </w:tc>
        <w:tc>
          <w:tcPr>
            <w:tcW w:w="361" w:type="pct"/>
            <w:vMerge w:val="continue"/>
            <w:shd w:val="clear" w:color="auto" w:fill="auto"/>
            <w:vAlign w:val="center"/>
          </w:tcPr>
          <w:p w14:paraId="5608ED8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c>
          <w:tcPr>
            <w:tcW w:w="411" w:type="pct"/>
            <w:vMerge w:val="continue"/>
            <w:shd w:val="clear" w:color="auto" w:fill="auto"/>
            <w:vAlign w:val="center"/>
          </w:tcPr>
          <w:p w14:paraId="17BB168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c>
          <w:tcPr>
            <w:tcW w:w="411" w:type="pct"/>
            <w:vMerge w:val="continue"/>
            <w:shd w:val="clear" w:color="auto" w:fill="auto"/>
            <w:vAlign w:val="center"/>
          </w:tcPr>
          <w:p w14:paraId="0C8AF54E">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411" w:type="pct"/>
            <w:vMerge w:val="continue"/>
            <w:shd w:val="clear" w:color="auto" w:fill="auto"/>
            <w:vAlign w:val="center"/>
          </w:tcPr>
          <w:p w14:paraId="705CA188">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602" w:type="pct"/>
            <w:vMerge w:val="continue"/>
            <w:shd w:val="clear" w:color="auto" w:fill="auto"/>
            <w:vAlign w:val="center"/>
          </w:tcPr>
          <w:p w14:paraId="4638136F">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0F6B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54" w:type="pct"/>
            <w:vAlign w:val="center"/>
          </w:tcPr>
          <w:p w14:paraId="4B13DE55">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3</w:t>
            </w:r>
          </w:p>
        </w:tc>
        <w:tc>
          <w:tcPr>
            <w:tcW w:w="1135" w:type="pct"/>
            <w:shd w:val="clear" w:color="auto" w:fill="auto"/>
            <w:vAlign w:val="center"/>
          </w:tcPr>
          <w:p w14:paraId="434EC7EE">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保护装置逻辑功能定值设定</w:t>
            </w:r>
          </w:p>
        </w:tc>
        <w:tc>
          <w:tcPr>
            <w:tcW w:w="1049" w:type="pct"/>
            <w:shd w:val="clear" w:color="auto" w:fill="auto"/>
            <w:vAlign w:val="center"/>
          </w:tcPr>
          <w:p w14:paraId="03DAA295">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KYN28-G8高压柜</w:t>
            </w:r>
          </w:p>
        </w:tc>
        <w:tc>
          <w:tcPr>
            <w:tcW w:w="360" w:type="pct"/>
            <w:vMerge w:val="continue"/>
            <w:shd w:val="clear" w:color="auto" w:fill="auto"/>
            <w:vAlign w:val="center"/>
          </w:tcPr>
          <w:p w14:paraId="13DB5B33">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p>
        </w:tc>
        <w:tc>
          <w:tcPr>
            <w:tcW w:w="361" w:type="pct"/>
            <w:vMerge w:val="continue"/>
            <w:shd w:val="clear" w:color="auto" w:fill="auto"/>
            <w:vAlign w:val="center"/>
          </w:tcPr>
          <w:p w14:paraId="0282B75D">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411" w:type="pct"/>
            <w:vMerge w:val="continue"/>
            <w:shd w:val="clear" w:color="auto" w:fill="auto"/>
            <w:vAlign w:val="center"/>
          </w:tcPr>
          <w:p w14:paraId="3042573A">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411" w:type="pct"/>
            <w:vMerge w:val="continue"/>
            <w:shd w:val="clear" w:color="auto" w:fill="auto"/>
            <w:vAlign w:val="center"/>
          </w:tcPr>
          <w:p w14:paraId="3E91AFAB">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411" w:type="pct"/>
            <w:vMerge w:val="continue"/>
            <w:shd w:val="clear" w:color="auto" w:fill="auto"/>
            <w:vAlign w:val="center"/>
          </w:tcPr>
          <w:p w14:paraId="4856183D">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602" w:type="pct"/>
            <w:vMerge w:val="continue"/>
            <w:shd w:val="clear" w:color="auto" w:fill="auto"/>
            <w:vAlign w:val="center"/>
          </w:tcPr>
          <w:p w14:paraId="44BD8A17">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404C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 w:type="pct"/>
            <w:vAlign w:val="center"/>
          </w:tcPr>
          <w:p w14:paraId="2315E2B7">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4</w:t>
            </w:r>
          </w:p>
        </w:tc>
        <w:tc>
          <w:tcPr>
            <w:tcW w:w="1135" w:type="pct"/>
            <w:shd w:val="clear" w:color="auto" w:fill="auto"/>
            <w:vAlign w:val="center"/>
          </w:tcPr>
          <w:p w14:paraId="1BFECE96">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接地电阻测试</w:t>
            </w:r>
          </w:p>
        </w:tc>
        <w:tc>
          <w:tcPr>
            <w:tcW w:w="1049" w:type="pct"/>
            <w:shd w:val="clear" w:color="auto" w:fill="auto"/>
            <w:vAlign w:val="center"/>
          </w:tcPr>
          <w:p w14:paraId="7062F919">
            <w:pPr>
              <w:keepNext w:val="0"/>
              <w:keepLines w:val="0"/>
              <w:widowControl/>
              <w:suppressLineNumbers w:val="0"/>
              <w:spacing w:line="240" w:lineRule="auto"/>
              <w:jc w:val="center"/>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SCB14-</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1250</w:t>
            </w:r>
            <w:r>
              <w:rPr>
                <w:rFonts w:hint="eastAsia" w:ascii="宋体" w:hAnsi="宋体" w:eastAsia="宋体" w:cs="宋体"/>
                <w:i w:val="0"/>
                <w:iCs w:val="0"/>
                <w:color w:val="000000"/>
                <w:kern w:val="0"/>
                <w:sz w:val="24"/>
                <w:szCs w:val="24"/>
                <w:highlight w:val="none"/>
                <w:u w:val="none"/>
                <w:lang w:val="en-US" w:eastAsia="zh-CN" w:bidi="ar"/>
              </w:rPr>
              <w:t>/10/0.4KV</w:t>
            </w:r>
          </w:p>
        </w:tc>
        <w:tc>
          <w:tcPr>
            <w:tcW w:w="360" w:type="pct"/>
            <w:vMerge w:val="continue"/>
            <w:shd w:val="clear" w:color="auto" w:fill="auto"/>
            <w:vAlign w:val="center"/>
          </w:tcPr>
          <w:p w14:paraId="1A28D4E5">
            <w:pPr>
              <w:keepNext w:val="0"/>
              <w:keepLines w:val="0"/>
              <w:widowControl/>
              <w:numPr>
                <w:ilvl w:val="0"/>
                <w:numId w:val="0"/>
              </w:numPr>
              <w:suppressLineNumbers w:val="0"/>
              <w:spacing w:line="240" w:lineRule="auto"/>
              <w:ind w:left="0" w:leftChars="0" w:firstLine="0" w:firstLineChars="0"/>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p>
        </w:tc>
        <w:tc>
          <w:tcPr>
            <w:tcW w:w="361" w:type="pct"/>
            <w:vMerge w:val="continue"/>
            <w:shd w:val="clear" w:color="auto" w:fill="auto"/>
            <w:vAlign w:val="center"/>
          </w:tcPr>
          <w:p w14:paraId="7D64734A">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411" w:type="pct"/>
            <w:vMerge w:val="continue"/>
            <w:shd w:val="clear" w:color="auto" w:fill="auto"/>
            <w:vAlign w:val="center"/>
          </w:tcPr>
          <w:p w14:paraId="45DF0C91">
            <w:pPr>
              <w:keepNext w:val="0"/>
              <w:keepLines w:val="0"/>
              <w:widowControl/>
              <w:suppressLineNumbers w:val="0"/>
              <w:spacing w:line="240" w:lineRule="auto"/>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p>
        </w:tc>
        <w:tc>
          <w:tcPr>
            <w:tcW w:w="411" w:type="pct"/>
            <w:vMerge w:val="continue"/>
            <w:shd w:val="clear" w:color="auto" w:fill="auto"/>
            <w:vAlign w:val="center"/>
          </w:tcPr>
          <w:p w14:paraId="281ED501">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411" w:type="pct"/>
            <w:vMerge w:val="continue"/>
            <w:shd w:val="clear" w:color="auto" w:fill="auto"/>
            <w:vAlign w:val="center"/>
          </w:tcPr>
          <w:p w14:paraId="28741014">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602" w:type="pct"/>
            <w:vMerge w:val="continue"/>
            <w:shd w:val="clear" w:color="auto" w:fill="auto"/>
            <w:vAlign w:val="center"/>
          </w:tcPr>
          <w:p w14:paraId="4C8030D4">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50FF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4" w:type="pct"/>
            <w:vAlign w:val="center"/>
          </w:tcPr>
          <w:p w14:paraId="2F39CAF8">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合计总价</w:t>
            </w:r>
          </w:p>
        </w:tc>
        <w:tc>
          <w:tcPr>
            <w:tcW w:w="4745" w:type="pct"/>
            <w:gridSpan w:val="8"/>
            <w:vAlign w:val="center"/>
          </w:tcPr>
          <w:p w14:paraId="05C35BF0">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大写：                                      小写：</w:t>
            </w:r>
          </w:p>
        </w:tc>
      </w:tr>
    </w:tbl>
    <w:p w14:paraId="3F7373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right="0"/>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11299"/>
    <w:rsid w:val="06B34F7C"/>
    <w:rsid w:val="06F832D7"/>
    <w:rsid w:val="06FE5970"/>
    <w:rsid w:val="0720477D"/>
    <w:rsid w:val="08471E20"/>
    <w:rsid w:val="0978425B"/>
    <w:rsid w:val="0AA1471F"/>
    <w:rsid w:val="0AC95F0D"/>
    <w:rsid w:val="0C22216F"/>
    <w:rsid w:val="0C3C5A14"/>
    <w:rsid w:val="0CC3594B"/>
    <w:rsid w:val="0E013747"/>
    <w:rsid w:val="0E4F1A2E"/>
    <w:rsid w:val="0E796ACE"/>
    <w:rsid w:val="0FBA2E6B"/>
    <w:rsid w:val="1082188C"/>
    <w:rsid w:val="110A4333"/>
    <w:rsid w:val="122907E8"/>
    <w:rsid w:val="12CD73C6"/>
    <w:rsid w:val="13BA572D"/>
    <w:rsid w:val="148D4319"/>
    <w:rsid w:val="149A7446"/>
    <w:rsid w:val="14C36CD2"/>
    <w:rsid w:val="153F4C2A"/>
    <w:rsid w:val="16134F8E"/>
    <w:rsid w:val="169F551D"/>
    <w:rsid w:val="178C5AA1"/>
    <w:rsid w:val="17D46238"/>
    <w:rsid w:val="17EC6540"/>
    <w:rsid w:val="17F11DA8"/>
    <w:rsid w:val="18316649"/>
    <w:rsid w:val="18E74784"/>
    <w:rsid w:val="192D234F"/>
    <w:rsid w:val="19DC141C"/>
    <w:rsid w:val="1CA2739B"/>
    <w:rsid w:val="1E135E51"/>
    <w:rsid w:val="1E320A25"/>
    <w:rsid w:val="1F356A1F"/>
    <w:rsid w:val="20914128"/>
    <w:rsid w:val="214271D1"/>
    <w:rsid w:val="21BC3427"/>
    <w:rsid w:val="21E464DA"/>
    <w:rsid w:val="22895D44"/>
    <w:rsid w:val="228D6B72"/>
    <w:rsid w:val="22DD5403"/>
    <w:rsid w:val="24092A7A"/>
    <w:rsid w:val="244B2840"/>
    <w:rsid w:val="24C20D54"/>
    <w:rsid w:val="24E2272E"/>
    <w:rsid w:val="2536704D"/>
    <w:rsid w:val="25714529"/>
    <w:rsid w:val="27D2050E"/>
    <w:rsid w:val="288709F5"/>
    <w:rsid w:val="29355AE7"/>
    <w:rsid w:val="2AD80048"/>
    <w:rsid w:val="2AF97AF6"/>
    <w:rsid w:val="2B8C7F06"/>
    <w:rsid w:val="2C725C4B"/>
    <w:rsid w:val="2EF40CD7"/>
    <w:rsid w:val="2FC040E2"/>
    <w:rsid w:val="31295CB7"/>
    <w:rsid w:val="334F641A"/>
    <w:rsid w:val="33AA7A2A"/>
    <w:rsid w:val="33F94067"/>
    <w:rsid w:val="342A1E5D"/>
    <w:rsid w:val="35B00755"/>
    <w:rsid w:val="35D102ED"/>
    <w:rsid w:val="364D18CA"/>
    <w:rsid w:val="36DC367E"/>
    <w:rsid w:val="378D51F2"/>
    <w:rsid w:val="3902751A"/>
    <w:rsid w:val="396E54F4"/>
    <w:rsid w:val="39934616"/>
    <w:rsid w:val="39974106"/>
    <w:rsid w:val="3A173499"/>
    <w:rsid w:val="3A3B5CB6"/>
    <w:rsid w:val="3ABB2076"/>
    <w:rsid w:val="3B837545"/>
    <w:rsid w:val="3E021D6A"/>
    <w:rsid w:val="3E5F71BC"/>
    <w:rsid w:val="3E66054B"/>
    <w:rsid w:val="3E8C47DB"/>
    <w:rsid w:val="3EA05244"/>
    <w:rsid w:val="3F8D72A8"/>
    <w:rsid w:val="3F9C219B"/>
    <w:rsid w:val="41455BDE"/>
    <w:rsid w:val="41DF1544"/>
    <w:rsid w:val="43A83731"/>
    <w:rsid w:val="443D58AA"/>
    <w:rsid w:val="4467060A"/>
    <w:rsid w:val="46C6427C"/>
    <w:rsid w:val="487A704C"/>
    <w:rsid w:val="48BA1BBF"/>
    <w:rsid w:val="49D2118A"/>
    <w:rsid w:val="4B92472D"/>
    <w:rsid w:val="4C184152"/>
    <w:rsid w:val="4CE0596C"/>
    <w:rsid w:val="4D1E045C"/>
    <w:rsid w:val="4D4001B9"/>
    <w:rsid w:val="4DDC6AF6"/>
    <w:rsid w:val="4E015B9A"/>
    <w:rsid w:val="4E6525CD"/>
    <w:rsid w:val="4F3F74D2"/>
    <w:rsid w:val="50336C04"/>
    <w:rsid w:val="51A76A58"/>
    <w:rsid w:val="52492351"/>
    <w:rsid w:val="53D33B35"/>
    <w:rsid w:val="53FD5056"/>
    <w:rsid w:val="549F2E25"/>
    <w:rsid w:val="54C53DC5"/>
    <w:rsid w:val="55CE6CAA"/>
    <w:rsid w:val="567D422C"/>
    <w:rsid w:val="56BC4D54"/>
    <w:rsid w:val="56C41E5B"/>
    <w:rsid w:val="58455048"/>
    <w:rsid w:val="58670CF0"/>
    <w:rsid w:val="58E956B2"/>
    <w:rsid w:val="597E4543"/>
    <w:rsid w:val="5A5B2F8A"/>
    <w:rsid w:val="5C937806"/>
    <w:rsid w:val="5EE727C6"/>
    <w:rsid w:val="5F2F6A35"/>
    <w:rsid w:val="5FC609F2"/>
    <w:rsid w:val="5FEA640D"/>
    <w:rsid w:val="60110153"/>
    <w:rsid w:val="60DA4D17"/>
    <w:rsid w:val="620B5A44"/>
    <w:rsid w:val="64303A67"/>
    <w:rsid w:val="64947352"/>
    <w:rsid w:val="652341F0"/>
    <w:rsid w:val="65D50ABD"/>
    <w:rsid w:val="66C51A03"/>
    <w:rsid w:val="68060407"/>
    <w:rsid w:val="6A696B49"/>
    <w:rsid w:val="6ACA775E"/>
    <w:rsid w:val="6AFB3C45"/>
    <w:rsid w:val="6B9C245C"/>
    <w:rsid w:val="6D587193"/>
    <w:rsid w:val="6DCC0FDD"/>
    <w:rsid w:val="6DD8201C"/>
    <w:rsid w:val="6E3D39E7"/>
    <w:rsid w:val="6E840F7D"/>
    <w:rsid w:val="6E970129"/>
    <w:rsid w:val="6EE0219B"/>
    <w:rsid w:val="6FA80114"/>
    <w:rsid w:val="70C16D34"/>
    <w:rsid w:val="70D867D7"/>
    <w:rsid w:val="71BE33AC"/>
    <w:rsid w:val="720E452E"/>
    <w:rsid w:val="750B6CFF"/>
    <w:rsid w:val="7535146F"/>
    <w:rsid w:val="754B57C9"/>
    <w:rsid w:val="764A5AC5"/>
    <w:rsid w:val="76524935"/>
    <w:rsid w:val="76B465C8"/>
    <w:rsid w:val="78724B4E"/>
    <w:rsid w:val="79927E6B"/>
    <w:rsid w:val="7A5438F1"/>
    <w:rsid w:val="7AB62AC1"/>
    <w:rsid w:val="7B98293E"/>
    <w:rsid w:val="7C0B306A"/>
    <w:rsid w:val="7C851B86"/>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1"/>
    <w:pPr>
      <w:spacing w:before="29"/>
      <w:ind w:left="580"/>
      <w:outlineLvl w:val="4"/>
    </w:pPr>
    <w:rPr>
      <w:rFonts w:ascii="宋体" w:hAnsi="宋体" w:eastAsia="宋体" w:cs="宋体"/>
      <w:b/>
      <w:bCs/>
      <w:sz w:val="24"/>
    </w:rPr>
  </w:style>
  <w:style w:type="paragraph" w:styleId="4">
    <w:name w:val="heading 6"/>
    <w:basedOn w:val="1"/>
    <w:next w:val="1"/>
    <w:qFormat/>
    <w:uiPriority w:val="1"/>
    <w:pPr>
      <w:spacing w:before="190"/>
      <w:ind w:left="600"/>
      <w:outlineLvl w:val="5"/>
    </w:pPr>
    <w:rPr>
      <w:rFonts w:ascii="宋体" w:hAnsi="宋体" w:eastAsia="宋体" w:cs="宋体"/>
      <w:b/>
      <w:bCs/>
      <w:sz w:val="24"/>
    </w:rPr>
  </w:style>
  <w:style w:type="paragraph" w:styleId="5">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numPr>
        <w:ilvl w:val="0"/>
        <w:numId w:val="1"/>
      </w:numPr>
      <w:tabs>
        <w:tab w:val="clear" w:pos="780"/>
      </w:tabs>
      <w:ind w:left="0" w:firstLine="0"/>
    </w:pPr>
    <w:rPr>
      <w:rFonts w:ascii="黑体" w:eastAsia="黑体"/>
      <w:sz w:val="22"/>
    </w:rPr>
  </w:style>
  <w:style w:type="paragraph" w:customStyle="1" w:styleId="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7"/>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21"/>
    <w:basedOn w:val="16"/>
    <w:qFormat/>
    <w:uiPriority w:val="0"/>
    <w:rPr>
      <w:rFonts w:hint="eastAsia" w:ascii="宋体" w:hAnsi="宋体" w:eastAsia="宋体" w:cs="宋体"/>
      <w:color w:val="FF0000"/>
      <w:sz w:val="24"/>
      <w:szCs w:val="24"/>
      <w:u w:val="none"/>
    </w:rPr>
  </w:style>
  <w:style w:type="character" w:customStyle="1" w:styleId="18">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4255</Words>
  <Characters>4493</Characters>
  <Lines>0</Lines>
  <Paragraphs>0</Paragraphs>
  <TotalTime>2</TotalTime>
  <ScaleCrop>false</ScaleCrop>
  <LinksUpToDate>false</LinksUpToDate>
  <CharactersWithSpaces>5430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2026-05-26T06:37:52Z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