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0679">
      <w:pPr>
        <w:shd w:val="clear" w:color="auto" w:fill="auto"/>
        <w:jc w:val="righ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 xml:space="preserve"> </w:t>
      </w:r>
      <w:r>
        <w:rPr>
          <w:rFonts w:hint="eastAsia" w:hAnsi="宋体" w:cs="宋体"/>
          <w:b/>
          <w:color w:val="auto"/>
          <w:sz w:val="30"/>
          <w:szCs w:val="30"/>
          <w:highlight w:val="none"/>
          <w:lang w:eastAsia="zh-CN"/>
        </w:rPr>
        <w:t>项目编号：YNCG（2025）013</w:t>
      </w:r>
    </w:p>
    <w:p w14:paraId="46C0073D">
      <w:pPr>
        <w:pStyle w:val="13"/>
        <w:numPr>
          <w:ilvl w:val="0"/>
          <w:numId w:val="0"/>
        </w:numPr>
        <w:shd w:val="clear" w:color="auto" w:fill="auto"/>
        <w:rPr>
          <w:rFonts w:hint="eastAsia" w:ascii="宋体" w:hAnsi="宋体" w:eastAsia="宋体" w:cs="宋体"/>
          <w:color w:val="auto"/>
          <w:highlight w:val="none"/>
        </w:rPr>
      </w:pPr>
    </w:p>
    <w:p w14:paraId="198231E1">
      <w:pPr>
        <w:pStyle w:val="13"/>
        <w:numPr>
          <w:ilvl w:val="0"/>
          <w:numId w:val="0"/>
        </w:numPr>
        <w:shd w:val="clear" w:color="auto" w:fill="auto"/>
        <w:tabs>
          <w:tab w:val="left" w:pos="780"/>
        </w:tabs>
        <w:spacing w:line="288" w:lineRule="auto"/>
        <w:jc w:val="both"/>
        <w:rPr>
          <w:rFonts w:hint="eastAsia" w:ascii="宋体" w:hAnsi="宋体" w:eastAsia="宋体" w:cs="宋体"/>
          <w:b/>
          <w:bCs/>
          <w:color w:val="auto"/>
          <w:sz w:val="52"/>
          <w:szCs w:val="52"/>
          <w:highlight w:val="none"/>
        </w:rPr>
      </w:pPr>
      <w:bookmarkStart w:id="0" w:name="OLE_LINK3"/>
    </w:p>
    <w:bookmarkEnd w:id="0"/>
    <w:p w14:paraId="0249DE95">
      <w:pPr>
        <w:shd w:val="clear" w:color="auto" w:fill="auto"/>
        <w:jc w:val="center"/>
        <w:rPr>
          <w:rFonts w:hint="eastAsia" w:hAnsi="宋体" w:cs="宋体"/>
          <w:b/>
          <w:sz w:val="48"/>
          <w:szCs w:val="48"/>
          <w:highlight w:val="none"/>
          <w:lang w:val="en-US" w:eastAsia="zh-CN"/>
        </w:rPr>
      </w:pPr>
      <w:r>
        <w:rPr>
          <w:rFonts w:hint="eastAsia" w:hAnsi="宋体" w:cs="宋体"/>
          <w:b/>
          <w:sz w:val="48"/>
          <w:szCs w:val="48"/>
          <w:highlight w:val="none"/>
          <w:lang w:val="en-US" w:eastAsia="zh-CN"/>
        </w:rPr>
        <w:t>资中县中医医院</w:t>
      </w:r>
    </w:p>
    <w:p w14:paraId="47BE3882">
      <w:pPr>
        <w:shd w:val="clear" w:color="auto" w:fill="auto"/>
        <w:jc w:val="center"/>
        <w:rPr>
          <w:rFonts w:hint="eastAsia" w:hAnsi="宋体" w:cs="宋体"/>
          <w:color w:val="auto"/>
          <w:highlight w:val="none"/>
        </w:rPr>
      </w:pPr>
      <w:r>
        <w:rPr>
          <w:rFonts w:hint="eastAsia" w:hAnsi="宋体" w:cs="宋体"/>
          <w:b/>
          <w:sz w:val="48"/>
          <w:szCs w:val="48"/>
          <w:highlight w:val="none"/>
          <w:lang w:val="en-US" w:eastAsia="zh-CN"/>
        </w:rPr>
        <w:t>一次性活检针等医用耗材采购项目（二次）</w:t>
      </w:r>
    </w:p>
    <w:p w14:paraId="1F9275F6">
      <w:pPr>
        <w:pStyle w:val="13"/>
        <w:numPr>
          <w:ilvl w:val="0"/>
          <w:numId w:val="0"/>
        </w:numPr>
        <w:rPr>
          <w:rFonts w:hint="eastAsia"/>
        </w:rPr>
      </w:pPr>
    </w:p>
    <w:p w14:paraId="21205F90">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竞</w:t>
      </w:r>
    </w:p>
    <w:p w14:paraId="40B1ECCA">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争</w:t>
      </w:r>
    </w:p>
    <w:p w14:paraId="7FB7A89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性</w:t>
      </w:r>
    </w:p>
    <w:p w14:paraId="7EE90FE0">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磋</w:t>
      </w:r>
    </w:p>
    <w:p w14:paraId="7C0D4D9B">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商</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0D0E0BC4">
      <w:pPr>
        <w:shd w:val="clear" w:color="auto" w:fill="auto"/>
        <w:spacing w:line="360" w:lineRule="auto"/>
        <w:jc w:val="center"/>
        <w:rPr>
          <w:rFonts w:hint="eastAsia" w:hAnsi="宋体" w:eastAsia="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3C2C738">
      <w:pPr>
        <w:shd w:val="clear" w:color="auto" w:fill="auto"/>
        <w:spacing w:line="360" w:lineRule="auto"/>
        <w:jc w:val="center"/>
        <w:rPr>
          <w:rFonts w:hint="eastAsia" w:hAnsi="宋体" w:cs="宋体"/>
          <w:b/>
          <w:color w:val="auto"/>
          <w:sz w:val="32"/>
          <w:szCs w:val="32"/>
          <w:highlight w:val="none"/>
          <w:lang w:eastAsia="zh-CN"/>
        </w:rPr>
      </w:pPr>
    </w:p>
    <w:p w14:paraId="5CE09F4E">
      <w:pPr>
        <w:shd w:val="clear" w:color="auto" w:fill="auto"/>
        <w:spacing w:line="360" w:lineRule="auto"/>
        <w:jc w:val="center"/>
        <w:rPr>
          <w:rFonts w:hint="eastAsia" w:hAnsi="宋体" w:cs="宋体"/>
          <w:b/>
          <w:color w:val="auto"/>
          <w:sz w:val="30"/>
          <w:szCs w:val="30"/>
          <w:highlight w:val="none"/>
        </w:rPr>
      </w:pPr>
      <w:r>
        <w:rPr>
          <w:rFonts w:hint="eastAsia" w:hAnsi="宋体" w:cs="宋体"/>
          <w:b/>
          <w:color w:val="auto"/>
          <w:sz w:val="32"/>
          <w:szCs w:val="32"/>
          <w:highlight w:val="none"/>
          <w:lang w:eastAsia="zh-CN"/>
        </w:rPr>
        <w:t>资中县中医医院药械采购中心</w:t>
      </w:r>
    </w:p>
    <w:p w14:paraId="6C6AE524">
      <w:pPr>
        <w:shd w:val="clear" w:color="auto" w:fill="auto"/>
        <w:spacing w:line="360" w:lineRule="auto"/>
        <w:jc w:val="center"/>
        <w:rPr>
          <w:rFonts w:hint="eastAsia" w:hAnsi="宋体" w:cs="宋体"/>
          <w:b/>
          <w:color w:val="auto"/>
          <w:sz w:val="32"/>
          <w:szCs w:val="32"/>
          <w:highlight w:val="none"/>
        </w:rPr>
      </w:pPr>
      <w:r>
        <w:rPr>
          <w:rFonts w:hint="eastAsia" w:hAnsi="宋体" w:cs="宋体"/>
          <w:b/>
          <w:color w:val="auto"/>
          <w:sz w:val="32"/>
          <w:szCs w:val="32"/>
          <w:highlight w:val="none"/>
          <w:lang w:eastAsia="zh-CN"/>
        </w:rPr>
        <w:t>资中县中医医院设备科</w:t>
      </w:r>
      <w:r>
        <w:rPr>
          <w:rFonts w:hint="eastAsia" w:hAnsi="宋体" w:cs="宋体"/>
          <w:b/>
          <w:color w:val="auto"/>
          <w:sz w:val="32"/>
          <w:szCs w:val="32"/>
          <w:highlight w:val="none"/>
        </w:rPr>
        <w:t>共同编制</w:t>
      </w:r>
    </w:p>
    <w:p w14:paraId="12A1A240">
      <w:pPr>
        <w:shd w:val="clear" w:color="auto" w:fill="auto"/>
        <w:spacing w:line="360" w:lineRule="auto"/>
        <w:ind w:firstLine="3313" w:firstLineChars="1100"/>
        <w:jc w:val="left"/>
        <w:rPr>
          <w:rFonts w:hint="eastAsia" w:hAnsi="宋体" w:cs="宋体"/>
          <w:b/>
          <w:bCs/>
          <w:color w:val="auto"/>
          <w:sz w:val="28"/>
          <w:szCs w:val="36"/>
          <w:highlight w:val="none"/>
        </w:rPr>
      </w:pPr>
      <w:r>
        <w:rPr>
          <w:rFonts w:hint="eastAsia" w:hAnsi="宋体" w:cs="宋体"/>
          <w:b/>
          <w:color w:val="auto"/>
          <w:sz w:val="30"/>
          <w:szCs w:val="30"/>
          <w:highlight w:val="none"/>
        </w:rPr>
        <w:t>二〇二</w:t>
      </w:r>
      <w:r>
        <w:rPr>
          <w:rFonts w:hint="eastAsia" w:hAnsi="宋体" w:cs="宋体"/>
          <w:b/>
          <w:color w:val="auto"/>
          <w:sz w:val="30"/>
          <w:szCs w:val="30"/>
          <w:highlight w:val="none"/>
          <w:lang w:eastAsia="zh-CN"/>
        </w:rPr>
        <w:t>五</w:t>
      </w:r>
      <w:r>
        <w:rPr>
          <w:rFonts w:hint="eastAsia" w:hAnsi="宋体" w:cs="宋体"/>
          <w:b/>
          <w:bCs/>
          <w:color w:val="auto"/>
          <w:sz w:val="32"/>
          <w:szCs w:val="32"/>
          <w:highlight w:val="none"/>
          <w:lang w:val="zh-CN"/>
        </w:rPr>
        <w:t>年</w:t>
      </w:r>
      <w:r>
        <w:rPr>
          <w:rFonts w:hint="eastAsia" w:hAnsi="宋体" w:cs="宋体"/>
          <w:b/>
          <w:bCs/>
          <w:color w:val="auto"/>
          <w:sz w:val="32"/>
          <w:szCs w:val="32"/>
          <w:highlight w:val="none"/>
          <w:lang w:val="zh-CN" w:eastAsia="zh-CN"/>
        </w:rPr>
        <w:t>八</w:t>
      </w:r>
      <w:r>
        <w:rPr>
          <w:rFonts w:hint="eastAsia" w:hAnsi="宋体" w:cs="宋体"/>
          <w:b/>
          <w:bCs/>
          <w:color w:val="auto"/>
          <w:sz w:val="32"/>
          <w:szCs w:val="32"/>
          <w:highlight w:val="none"/>
          <w:lang w:val="zh-CN"/>
        </w:rPr>
        <w:t>月</w:t>
      </w:r>
      <w:bookmarkStart w:id="1" w:name="_Hlt101233737"/>
      <w:bookmarkEnd w:id="1"/>
      <w:bookmarkStart w:id="2" w:name="_Hlt101843627"/>
      <w:bookmarkEnd w:id="2"/>
    </w:p>
    <w:p w14:paraId="2311E7C0">
      <w:pPr>
        <w:shd w:val="clear" w:color="auto" w:fill="auto"/>
        <w:jc w:val="center"/>
        <w:rPr>
          <w:rFonts w:hint="eastAsia" w:hAnsi="宋体" w:cs="宋体"/>
          <w:b/>
          <w:bCs/>
          <w:color w:val="auto"/>
          <w:sz w:val="28"/>
          <w:szCs w:val="28"/>
          <w:highlight w:val="none"/>
        </w:rPr>
      </w:pPr>
    </w:p>
    <w:p w14:paraId="40B080E6">
      <w:pPr>
        <w:shd w:val="clear" w:color="auto" w:fill="auto"/>
        <w:jc w:val="center"/>
        <w:rPr>
          <w:rFonts w:hint="eastAsia" w:hAnsi="宋体" w:cs="宋体"/>
          <w:b/>
          <w:bCs/>
          <w:color w:val="auto"/>
          <w:sz w:val="28"/>
          <w:szCs w:val="28"/>
          <w:highlight w:val="none"/>
        </w:rPr>
        <w:sectPr>
          <w:headerReference r:id="rId3" w:type="default"/>
          <w:footerReference r:id="rId4" w:type="default"/>
          <w:pgSz w:w="11905" w:h="16838"/>
          <w:pgMar w:top="873" w:right="1474" w:bottom="1440" w:left="1474" w:header="850" w:footer="992" w:gutter="0"/>
          <w:cols w:space="720" w:num="1"/>
          <w:rtlGutter w:val="1"/>
          <w:docGrid w:linePitch="312" w:charSpace="0"/>
        </w:sectPr>
      </w:pPr>
    </w:p>
    <w:p w14:paraId="63BED088">
      <w:pPr>
        <w:shd w:val="clear" w:color="auto" w:fill="auto"/>
        <w:jc w:val="center"/>
        <w:rPr>
          <w:rFonts w:hint="eastAsia" w:hAnsi="宋体" w:cs="宋体"/>
          <w:b/>
          <w:bCs/>
          <w:color w:val="auto"/>
          <w:sz w:val="28"/>
          <w:szCs w:val="28"/>
          <w:highlight w:val="none"/>
        </w:rPr>
      </w:pPr>
      <w:r>
        <w:rPr>
          <w:rFonts w:hint="eastAsia" w:hAnsi="宋体" w:cs="宋体"/>
          <w:b/>
          <w:bCs/>
          <w:color w:val="auto"/>
          <w:sz w:val="28"/>
          <w:szCs w:val="28"/>
          <w:highlight w:val="none"/>
        </w:rPr>
        <w:t>目 录</w:t>
      </w:r>
    </w:p>
    <w:p w14:paraId="04E7A552">
      <w:pPr>
        <w:pStyle w:val="20"/>
        <w:tabs>
          <w:tab w:val="right" w:leader="dot" w:pos="8957"/>
        </w:tabs>
        <w:rPr>
          <w:b/>
          <w:bCs/>
          <w:sz w:val="22"/>
          <w:szCs w:val="13"/>
        </w:rPr>
      </w:pPr>
      <w:r>
        <w:rPr>
          <w:rFonts w:hint="eastAsia" w:hAnsi="宋体" w:cs="宋体"/>
          <w:bCs/>
          <w:color w:val="auto"/>
          <w:sz w:val="15"/>
          <w:szCs w:val="15"/>
          <w:highlight w:val="none"/>
        </w:rPr>
        <w:fldChar w:fldCharType="begin"/>
      </w:r>
      <w:r>
        <w:rPr>
          <w:rFonts w:hint="eastAsia" w:hAnsi="宋体" w:cs="宋体"/>
          <w:bCs/>
          <w:color w:val="auto"/>
          <w:sz w:val="15"/>
          <w:szCs w:val="15"/>
          <w:highlight w:val="none"/>
        </w:rPr>
        <w:instrText xml:space="preserve">TOC \o "1-2" \h \u </w:instrText>
      </w:r>
      <w:r>
        <w:rPr>
          <w:rFonts w:hint="eastAsia" w:hAnsi="宋体" w:cs="宋体"/>
          <w:bCs/>
          <w:color w:val="auto"/>
          <w:sz w:val="15"/>
          <w:szCs w:val="15"/>
          <w:highlight w:val="none"/>
        </w:rPr>
        <w:fldChar w:fldCharType="separate"/>
      </w: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_Toc3624 </w:instrText>
      </w:r>
      <w:r>
        <w:rPr>
          <w:rFonts w:hint="eastAsia" w:hAnsi="宋体" w:cs="宋体"/>
          <w:b/>
          <w:bCs/>
          <w:sz w:val="22"/>
          <w:szCs w:val="15"/>
          <w:highlight w:val="none"/>
        </w:rPr>
        <w:fldChar w:fldCharType="separate"/>
      </w:r>
      <w:r>
        <w:rPr>
          <w:rFonts w:hint="eastAsia" w:hAnsi="宋体" w:cs="宋体"/>
          <w:b/>
          <w:bCs/>
          <w:sz w:val="22"/>
          <w:szCs w:val="21"/>
          <w:highlight w:val="none"/>
        </w:rPr>
        <w:t>第一章  磋商邀请</w:t>
      </w:r>
      <w:r>
        <w:rPr>
          <w:b/>
          <w:bCs/>
          <w:sz w:val="22"/>
          <w:szCs w:val="13"/>
        </w:rPr>
        <w:tab/>
      </w:r>
      <w:r>
        <w:rPr>
          <w:b/>
          <w:bCs/>
          <w:sz w:val="22"/>
          <w:szCs w:val="13"/>
        </w:rPr>
        <w:fldChar w:fldCharType="begin"/>
      </w:r>
      <w:r>
        <w:rPr>
          <w:b/>
          <w:bCs/>
          <w:sz w:val="22"/>
          <w:szCs w:val="13"/>
        </w:rPr>
        <w:instrText xml:space="preserve"> PAGEREF _Toc3624 \h </w:instrText>
      </w:r>
      <w:r>
        <w:rPr>
          <w:b/>
          <w:bCs/>
          <w:sz w:val="22"/>
          <w:szCs w:val="13"/>
        </w:rPr>
        <w:fldChar w:fldCharType="separate"/>
      </w:r>
      <w:r>
        <w:rPr>
          <w:b/>
          <w:bCs/>
          <w:sz w:val="22"/>
          <w:szCs w:val="13"/>
        </w:rPr>
        <w:t>3</w:t>
      </w:r>
      <w:r>
        <w:rPr>
          <w:b/>
          <w:bCs/>
          <w:sz w:val="22"/>
          <w:szCs w:val="13"/>
        </w:rPr>
        <w:fldChar w:fldCharType="end"/>
      </w:r>
      <w:r>
        <w:rPr>
          <w:rFonts w:hint="eastAsia" w:hAnsi="宋体" w:cs="宋体"/>
          <w:b/>
          <w:bCs/>
          <w:color w:val="auto"/>
          <w:sz w:val="22"/>
          <w:szCs w:val="15"/>
          <w:highlight w:val="none"/>
        </w:rPr>
        <w:fldChar w:fldCharType="end"/>
      </w:r>
    </w:p>
    <w:p w14:paraId="709F23C7">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_Toc18546 </w:instrText>
      </w:r>
      <w:r>
        <w:rPr>
          <w:rFonts w:hint="eastAsia" w:hAnsi="宋体" w:cs="宋体"/>
          <w:bCs/>
          <w:sz w:val="21"/>
          <w:szCs w:val="13"/>
          <w:highlight w:val="none"/>
        </w:rPr>
        <w:fldChar w:fldCharType="separate"/>
      </w:r>
      <w:r>
        <w:rPr>
          <w:rFonts w:hint="eastAsia" w:ascii="宋体" w:hAnsi="宋体" w:eastAsia="宋体" w:cs="宋体"/>
          <w:bCs/>
          <w:sz w:val="21"/>
          <w:szCs w:val="11"/>
          <w:highlight w:val="none"/>
          <w:lang w:val="en-US" w:eastAsia="zh-CN" w:bidi="ar-SA"/>
        </w:rPr>
        <w:t>(一)符合《中华人民共和国采购法》第二十二条规定的条件：</w:t>
      </w:r>
      <w:r>
        <w:rPr>
          <w:sz w:val="21"/>
          <w:szCs w:val="11"/>
        </w:rPr>
        <w:tab/>
      </w:r>
      <w:r>
        <w:rPr>
          <w:sz w:val="21"/>
          <w:szCs w:val="11"/>
        </w:rPr>
        <w:fldChar w:fldCharType="begin"/>
      </w:r>
      <w:r>
        <w:rPr>
          <w:sz w:val="21"/>
          <w:szCs w:val="11"/>
        </w:rPr>
        <w:instrText xml:space="preserve"> PAGEREF _Toc18546 \h </w:instrText>
      </w:r>
      <w:r>
        <w:rPr>
          <w:sz w:val="21"/>
          <w:szCs w:val="11"/>
        </w:rPr>
        <w:fldChar w:fldCharType="separate"/>
      </w:r>
      <w:r>
        <w:rPr>
          <w:sz w:val="21"/>
          <w:szCs w:val="11"/>
        </w:rPr>
        <w:t>3</w:t>
      </w:r>
      <w:r>
        <w:rPr>
          <w:sz w:val="21"/>
          <w:szCs w:val="11"/>
        </w:rPr>
        <w:fldChar w:fldCharType="end"/>
      </w:r>
      <w:r>
        <w:rPr>
          <w:rFonts w:hint="eastAsia" w:hAnsi="宋体" w:cs="宋体"/>
          <w:bCs/>
          <w:color w:val="auto"/>
          <w:sz w:val="21"/>
          <w:szCs w:val="13"/>
          <w:highlight w:val="none"/>
        </w:rPr>
        <w:fldChar w:fldCharType="end"/>
      </w:r>
    </w:p>
    <w:p w14:paraId="7D25038D">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_Toc27331 </w:instrText>
      </w:r>
      <w:r>
        <w:rPr>
          <w:rFonts w:hint="eastAsia" w:hAnsi="宋体" w:cs="宋体"/>
          <w:bCs/>
          <w:sz w:val="21"/>
          <w:szCs w:val="13"/>
          <w:highlight w:val="none"/>
        </w:rPr>
        <w:fldChar w:fldCharType="separate"/>
      </w:r>
      <w:r>
        <w:rPr>
          <w:rFonts w:hint="eastAsia" w:hAnsi="宋体" w:cs="宋体"/>
          <w:sz w:val="21"/>
          <w:szCs w:val="11"/>
          <w:highlight w:val="none"/>
        </w:rPr>
        <w:t>（二）本项目不接受联合体参与。</w:t>
      </w:r>
      <w:r>
        <w:rPr>
          <w:sz w:val="21"/>
          <w:szCs w:val="11"/>
        </w:rPr>
        <w:tab/>
      </w:r>
      <w:r>
        <w:rPr>
          <w:sz w:val="21"/>
          <w:szCs w:val="11"/>
        </w:rPr>
        <w:fldChar w:fldCharType="begin"/>
      </w:r>
      <w:r>
        <w:rPr>
          <w:sz w:val="21"/>
          <w:szCs w:val="11"/>
        </w:rPr>
        <w:instrText xml:space="preserve"> PAGEREF _Toc27331 \h </w:instrText>
      </w:r>
      <w:r>
        <w:rPr>
          <w:sz w:val="21"/>
          <w:szCs w:val="11"/>
        </w:rPr>
        <w:fldChar w:fldCharType="separate"/>
      </w:r>
      <w:r>
        <w:rPr>
          <w:sz w:val="21"/>
          <w:szCs w:val="11"/>
        </w:rPr>
        <w:t>4</w:t>
      </w:r>
      <w:r>
        <w:rPr>
          <w:sz w:val="21"/>
          <w:szCs w:val="11"/>
        </w:rPr>
        <w:fldChar w:fldCharType="end"/>
      </w:r>
      <w:r>
        <w:rPr>
          <w:rFonts w:hint="eastAsia" w:hAnsi="宋体" w:cs="宋体"/>
          <w:bCs/>
          <w:color w:val="auto"/>
          <w:sz w:val="21"/>
          <w:szCs w:val="13"/>
          <w:highlight w:val="none"/>
        </w:rPr>
        <w:fldChar w:fldCharType="end"/>
      </w:r>
    </w:p>
    <w:p w14:paraId="12995C4A">
      <w:pPr>
        <w:pStyle w:val="20"/>
        <w:tabs>
          <w:tab w:val="right" w:leader="dot" w:pos="8957"/>
        </w:tabs>
        <w:rPr>
          <w:b/>
          <w:bCs/>
          <w:sz w:val="22"/>
          <w:szCs w:val="13"/>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_Toc17199 </w:instrText>
      </w:r>
      <w:r>
        <w:rPr>
          <w:rFonts w:hint="eastAsia" w:hAnsi="宋体" w:cs="宋体"/>
          <w:b/>
          <w:bCs/>
          <w:sz w:val="22"/>
          <w:szCs w:val="15"/>
          <w:highlight w:val="none"/>
        </w:rPr>
        <w:fldChar w:fldCharType="separate"/>
      </w:r>
      <w:r>
        <w:rPr>
          <w:rFonts w:hint="eastAsia" w:hAnsi="宋体" w:cs="宋体"/>
          <w:b/>
          <w:bCs/>
          <w:sz w:val="22"/>
          <w:szCs w:val="21"/>
          <w:highlight w:val="none"/>
        </w:rPr>
        <w:t>第二章  磋商须知</w:t>
      </w:r>
      <w:r>
        <w:rPr>
          <w:b/>
          <w:bCs/>
          <w:sz w:val="22"/>
          <w:szCs w:val="13"/>
        </w:rPr>
        <w:tab/>
      </w:r>
      <w:r>
        <w:rPr>
          <w:b/>
          <w:bCs/>
          <w:sz w:val="22"/>
          <w:szCs w:val="13"/>
        </w:rPr>
        <w:fldChar w:fldCharType="begin"/>
      </w:r>
      <w:r>
        <w:rPr>
          <w:b/>
          <w:bCs/>
          <w:sz w:val="22"/>
          <w:szCs w:val="13"/>
        </w:rPr>
        <w:instrText xml:space="preserve"> PAGEREF _Toc17199 \h </w:instrText>
      </w:r>
      <w:r>
        <w:rPr>
          <w:b/>
          <w:bCs/>
          <w:sz w:val="22"/>
          <w:szCs w:val="13"/>
        </w:rPr>
        <w:fldChar w:fldCharType="separate"/>
      </w:r>
      <w:r>
        <w:rPr>
          <w:b/>
          <w:bCs/>
          <w:sz w:val="22"/>
          <w:szCs w:val="13"/>
        </w:rPr>
        <w:t>6</w:t>
      </w:r>
      <w:r>
        <w:rPr>
          <w:b/>
          <w:bCs/>
          <w:sz w:val="22"/>
          <w:szCs w:val="13"/>
        </w:rPr>
        <w:fldChar w:fldCharType="end"/>
      </w:r>
      <w:r>
        <w:rPr>
          <w:rFonts w:hint="eastAsia" w:hAnsi="宋体" w:cs="宋体"/>
          <w:b/>
          <w:bCs/>
          <w:color w:val="auto"/>
          <w:sz w:val="22"/>
          <w:szCs w:val="15"/>
          <w:highlight w:val="none"/>
        </w:rPr>
        <w:fldChar w:fldCharType="end"/>
      </w:r>
    </w:p>
    <w:p w14:paraId="1AE78573">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_Toc8956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一、供应商须知附表</w:t>
      </w:r>
      <w:r>
        <w:rPr>
          <w:sz w:val="21"/>
          <w:szCs w:val="11"/>
        </w:rPr>
        <w:tab/>
      </w:r>
      <w:r>
        <w:rPr>
          <w:sz w:val="21"/>
          <w:szCs w:val="11"/>
        </w:rPr>
        <w:fldChar w:fldCharType="begin"/>
      </w:r>
      <w:r>
        <w:rPr>
          <w:sz w:val="21"/>
          <w:szCs w:val="11"/>
        </w:rPr>
        <w:instrText xml:space="preserve"> PAGEREF _Toc8956 \h </w:instrText>
      </w:r>
      <w:r>
        <w:rPr>
          <w:sz w:val="21"/>
          <w:szCs w:val="11"/>
        </w:rPr>
        <w:fldChar w:fldCharType="separate"/>
      </w:r>
      <w:r>
        <w:rPr>
          <w:sz w:val="21"/>
          <w:szCs w:val="11"/>
        </w:rPr>
        <w:t>6</w:t>
      </w:r>
      <w:r>
        <w:rPr>
          <w:sz w:val="21"/>
          <w:szCs w:val="11"/>
        </w:rPr>
        <w:fldChar w:fldCharType="end"/>
      </w:r>
      <w:r>
        <w:rPr>
          <w:rFonts w:hint="eastAsia" w:hAnsi="宋体" w:cs="宋体"/>
          <w:bCs/>
          <w:color w:val="auto"/>
          <w:sz w:val="21"/>
          <w:szCs w:val="13"/>
          <w:highlight w:val="none"/>
        </w:rPr>
        <w:fldChar w:fldCharType="end"/>
      </w:r>
    </w:p>
    <w:p w14:paraId="09917F8B">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_Toc4824 </w:instrText>
      </w:r>
      <w:r>
        <w:rPr>
          <w:rFonts w:hint="eastAsia" w:hAnsi="宋体" w:cs="宋体"/>
          <w:bCs/>
          <w:sz w:val="21"/>
          <w:szCs w:val="13"/>
          <w:highlight w:val="none"/>
        </w:rPr>
        <w:fldChar w:fldCharType="separate"/>
      </w:r>
      <w:r>
        <w:rPr>
          <w:rFonts w:hint="eastAsia" w:ascii="宋体" w:hAnsi="宋体" w:eastAsia="宋体" w:cs="宋体"/>
          <w:bCs w:val="0"/>
          <w:sz w:val="21"/>
          <w:szCs w:val="11"/>
          <w:highlight w:val="none"/>
        </w:rPr>
        <w:t>二、总  则</w:t>
      </w:r>
      <w:r>
        <w:rPr>
          <w:sz w:val="21"/>
          <w:szCs w:val="11"/>
        </w:rPr>
        <w:tab/>
      </w:r>
      <w:r>
        <w:rPr>
          <w:rFonts w:hint="eastAsia"/>
          <w:sz w:val="21"/>
          <w:szCs w:val="11"/>
          <w:lang w:val="en-US" w:eastAsia="zh-CN"/>
        </w:rPr>
        <w:t>8</w:t>
      </w:r>
      <w:r>
        <w:rPr>
          <w:rFonts w:hint="eastAsia" w:hAnsi="宋体" w:cs="宋体"/>
          <w:bCs/>
          <w:color w:val="auto"/>
          <w:sz w:val="21"/>
          <w:szCs w:val="13"/>
          <w:highlight w:val="none"/>
        </w:rPr>
        <w:fldChar w:fldCharType="end"/>
      </w:r>
    </w:p>
    <w:p w14:paraId="2748A4F6">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_Toc30258 </w:instrText>
      </w:r>
      <w:r>
        <w:rPr>
          <w:rFonts w:hint="eastAsia" w:hAnsi="宋体" w:cs="宋体"/>
          <w:bCs/>
          <w:sz w:val="21"/>
          <w:szCs w:val="13"/>
          <w:highlight w:val="none"/>
        </w:rPr>
        <w:fldChar w:fldCharType="separate"/>
      </w:r>
      <w:r>
        <w:rPr>
          <w:rFonts w:hint="eastAsia" w:ascii="宋体" w:hAnsi="宋体" w:eastAsia="宋体" w:cs="宋体"/>
          <w:bCs w:val="0"/>
          <w:sz w:val="21"/>
          <w:szCs w:val="11"/>
          <w:highlight w:val="none"/>
        </w:rPr>
        <w:t>三、磋商文件</w:t>
      </w:r>
      <w:r>
        <w:rPr>
          <w:sz w:val="21"/>
          <w:szCs w:val="11"/>
        </w:rPr>
        <w:tab/>
      </w:r>
      <w:r>
        <w:rPr>
          <w:sz w:val="21"/>
          <w:szCs w:val="11"/>
        </w:rPr>
        <w:fldChar w:fldCharType="begin"/>
      </w:r>
      <w:r>
        <w:rPr>
          <w:sz w:val="21"/>
          <w:szCs w:val="11"/>
        </w:rPr>
        <w:instrText xml:space="preserve"> PAGEREF _Toc30258 \h </w:instrText>
      </w:r>
      <w:r>
        <w:rPr>
          <w:sz w:val="21"/>
          <w:szCs w:val="11"/>
        </w:rPr>
        <w:fldChar w:fldCharType="separate"/>
      </w:r>
      <w:r>
        <w:rPr>
          <w:sz w:val="21"/>
          <w:szCs w:val="11"/>
        </w:rPr>
        <w:t>10</w:t>
      </w:r>
      <w:r>
        <w:rPr>
          <w:sz w:val="21"/>
          <w:szCs w:val="11"/>
        </w:rPr>
        <w:fldChar w:fldCharType="end"/>
      </w:r>
      <w:r>
        <w:rPr>
          <w:rFonts w:hint="eastAsia" w:hAnsi="宋体" w:cs="宋体"/>
          <w:bCs/>
          <w:color w:val="auto"/>
          <w:sz w:val="21"/>
          <w:szCs w:val="13"/>
          <w:highlight w:val="none"/>
        </w:rPr>
        <w:fldChar w:fldCharType="end"/>
      </w:r>
    </w:p>
    <w:p w14:paraId="077FB339">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_Toc20806 </w:instrText>
      </w:r>
      <w:r>
        <w:rPr>
          <w:rFonts w:hint="eastAsia" w:hAnsi="宋体" w:cs="宋体"/>
          <w:bCs/>
          <w:sz w:val="21"/>
          <w:szCs w:val="13"/>
          <w:highlight w:val="none"/>
        </w:rPr>
        <w:fldChar w:fldCharType="separate"/>
      </w:r>
      <w:r>
        <w:rPr>
          <w:rFonts w:hint="eastAsia" w:ascii="宋体" w:hAnsi="宋体" w:eastAsia="宋体" w:cs="宋体"/>
          <w:bCs w:val="0"/>
          <w:sz w:val="21"/>
          <w:szCs w:val="11"/>
          <w:highlight w:val="none"/>
        </w:rPr>
        <w:t>四、响应文件</w:t>
      </w:r>
      <w:r>
        <w:rPr>
          <w:sz w:val="21"/>
          <w:szCs w:val="11"/>
        </w:rPr>
        <w:tab/>
      </w:r>
      <w:r>
        <w:rPr>
          <w:sz w:val="21"/>
          <w:szCs w:val="11"/>
        </w:rPr>
        <w:fldChar w:fldCharType="begin"/>
      </w:r>
      <w:r>
        <w:rPr>
          <w:sz w:val="21"/>
          <w:szCs w:val="11"/>
        </w:rPr>
        <w:instrText xml:space="preserve"> PAGEREF _Toc20806 \h </w:instrText>
      </w:r>
      <w:r>
        <w:rPr>
          <w:sz w:val="21"/>
          <w:szCs w:val="11"/>
        </w:rPr>
        <w:fldChar w:fldCharType="separate"/>
      </w:r>
      <w:r>
        <w:rPr>
          <w:sz w:val="21"/>
          <w:szCs w:val="11"/>
        </w:rPr>
        <w:t>11</w:t>
      </w:r>
      <w:r>
        <w:rPr>
          <w:sz w:val="21"/>
          <w:szCs w:val="11"/>
        </w:rPr>
        <w:fldChar w:fldCharType="end"/>
      </w:r>
      <w:r>
        <w:rPr>
          <w:rFonts w:hint="eastAsia" w:hAnsi="宋体" w:cs="宋体"/>
          <w:bCs/>
          <w:color w:val="auto"/>
          <w:sz w:val="21"/>
          <w:szCs w:val="13"/>
          <w:highlight w:val="none"/>
        </w:rPr>
        <w:fldChar w:fldCharType="end"/>
      </w:r>
    </w:p>
    <w:p w14:paraId="17372E72">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_Toc5838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五、评审</w:t>
      </w:r>
      <w:r>
        <w:rPr>
          <w:sz w:val="21"/>
          <w:szCs w:val="11"/>
        </w:rPr>
        <w:tab/>
      </w:r>
      <w:r>
        <w:rPr>
          <w:sz w:val="21"/>
          <w:szCs w:val="11"/>
        </w:rPr>
        <w:fldChar w:fldCharType="begin"/>
      </w:r>
      <w:r>
        <w:rPr>
          <w:sz w:val="21"/>
          <w:szCs w:val="11"/>
        </w:rPr>
        <w:instrText xml:space="preserve"> PAGEREF _Toc5838 \h </w:instrText>
      </w:r>
      <w:r>
        <w:rPr>
          <w:sz w:val="21"/>
          <w:szCs w:val="11"/>
        </w:rPr>
        <w:fldChar w:fldCharType="separate"/>
      </w:r>
      <w:r>
        <w:rPr>
          <w:sz w:val="21"/>
          <w:szCs w:val="11"/>
        </w:rPr>
        <w:t>14</w:t>
      </w:r>
      <w:r>
        <w:rPr>
          <w:sz w:val="21"/>
          <w:szCs w:val="11"/>
        </w:rPr>
        <w:fldChar w:fldCharType="end"/>
      </w:r>
      <w:r>
        <w:rPr>
          <w:rFonts w:hint="eastAsia" w:hAnsi="宋体" w:cs="宋体"/>
          <w:bCs/>
          <w:color w:val="auto"/>
          <w:sz w:val="21"/>
          <w:szCs w:val="13"/>
          <w:highlight w:val="none"/>
        </w:rPr>
        <w:fldChar w:fldCharType="end"/>
      </w:r>
    </w:p>
    <w:p w14:paraId="20726402">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_Toc20313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六、成交事项</w:t>
      </w:r>
      <w:r>
        <w:rPr>
          <w:sz w:val="21"/>
          <w:szCs w:val="11"/>
        </w:rPr>
        <w:tab/>
      </w:r>
      <w:r>
        <w:rPr>
          <w:sz w:val="21"/>
          <w:szCs w:val="11"/>
        </w:rPr>
        <w:fldChar w:fldCharType="begin"/>
      </w:r>
      <w:r>
        <w:rPr>
          <w:sz w:val="21"/>
          <w:szCs w:val="11"/>
        </w:rPr>
        <w:instrText xml:space="preserve"> PAGEREF _Toc20313 \h </w:instrText>
      </w:r>
      <w:r>
        <w:rPr>
          <w:sz w:val="21"/>
          <w:szCs w:val="11"/>
        </w:rPr>
        <w:fldChar w:fldCharType="separate"/>
      </w:r>
      <w:r>
        <w:rPr>
          <w:sz w:val="21"/>
          <w:szCs w:val="11"/>
        </w:rPr>
        <w:t>14</w:t>
      </w:r>
      <w:r>
        <w:rPr>
          <w:sz w:val="21"/>
          <w:szCs w:val="11"/>
        </w:rPr>
        <w:fldChar w:fldCharType="end"/>
      </w:r>
      <w:r>
        <w:rPr>
          <w:rFonts w:hint="eastAsia" w:hAnsi="宋体" w:cs="宋体"/>
          <w:bCs/>
          <w:color w:val="auto"/>
          <w:sz w:val="21"/>
          <w:szCs w:val="13"/>
          <w:highlight w:val="none"/>
        </w:rPr>
        <w:fldChar w:fldCharType="end"/>
      </w:r>
    </w:p>
    <w:p w14:paraId="1FBED16F">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_Toc8705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七、合同事项</w:t>
      </w:r>
      <w:r>
        <w:rPr>
          <w:sz w:val="21"/>
          <w:szCs w:val="11"/>
        </w:rPr>
        <w:tab/>
      </w:r>
      <w:r>
        <w:rPr>
          <w:sz w:val="21"/>
          <w:szCs w:val="11"/>
        </w:rPr>
        <w:fldChar w:fldCharType="begin"/>
      </w:r>
      <w:r>
        <w:rPr>
          <w:sz w:val="21"/>
          <w:szCs w:val="11"/>
        </w:rPr>
        <w:instrText xml:space="preserve"> PAGEREF _Toc8705 \h </w:instrText>
      </w:r>
      <w:r>
        <w:rPr>
          <w:sz w:val="21"/>
          <w:szCs w:val="11"/>
        </w:rPr>
        <w:fldChar w:fldCharType="separate"/>
      </w:r>
      <w:r>
        <w:rPr>
          <w:sz w:val="21"/>
          <w:szCs w:val="11"/>
        </w:rPr>
        <w:t>15</w:t>
      </w:r>
      <w:r>
        <w:rPr>
          <w:sz w:val="21"/>
          <w:szCs w:val="11"/>
        </w:rPr>
        <w:fldChar w:fldCharType="end"/>
      </w:r>
      <w:r>
        <w:rPr>
          <w:rFonts w:hint="eastAsia" w:hAnsi="宋体" w:cs="宋体"/>
          <w:bCs/>
          <w:color w:val="auto"/>
          <w:sz w:val="21"/>
          <w:szCs w:val="13"/>
          <w:highlight w:val="none"/>
        </w:rPr>
        <w:fldChar w:fldCharType="end"/>
      </w:r>
    </w:p>
    <w:p w14:paraId="498C17E1">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_Toc11805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八、磋商纪律要求</w:t>
      </w:r>
      <w:r>
        <w:rPr>
          <w:sz w:val="21"/>
          <w:szCs w:val="11"/>
        </w:rPr>
        <w:tab/>
      </w:r>
      <w:r>
        <w:rPr>
          <w:sz w:val="21"/>
          <w:szCs w:val="11"/>
        </w:rPr>
        <w:fldChar w:fldCharType="begin"/>
      </w:r>
      <w:r>
        <w:rPr>
          <w:sz w:val="21"/>
          <w:szCs w:val="11"/>
        </w:rPr>
        <w:instrText xml:space="preserve"> PAGEREF _Toc11805 \h </w:instrText>
      </w:r>
      <w:r>
        <w:rPr>
          <w:sz w:val="21"/>
          <w:szCs w:val="11"/>
        </w:rPr>
        <w:fldChar w:fldCharType="separate"/>
      </w:r>
      <w:r>
        <w:rPr>
          <w:sz w:val="21"/>
          <w:szCs w:val="11"/>
        </w:rPr>
        <w:t>16</w:t>
      </w:r>
      <w:r>
        <w:rPr>
          <w:sz w:val="21"/>
          <w:szCs w:val="11"/>
        </w:rPr>
        <w:fldChar w:fldCharType="end"/>
      </w:r>
      <w:r>
        <w:rPr>
          <w:rFonts w:hint="eastAsia" w:hAnsi="宋体" w:cs="宋体"/>
          <w:bCs/>
          <w:color w:val="auto"/>
          <w:sz w:val="21"/>
          <w:szCs w:val="13"/>
          <w:highlight w:val="none"/>
        </w:rPr>
        <w:fldChar w:fldCharType="end"/>
      </w:r>
    </w:p>
    <w:p w14:paraId="0656F402">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_Toc21183 </w:instrText>
      </w:r>
      <w:r>
        <w:rPr>
          <w:rFonts w:hint="eastAsia" w:hAnsi="宋体" w:cs="宋体"/>
          <w:bCs/>
          <w:sz w:val="21"/>
          <w:szCs w:val="13"/>
          <w:highlight w:val="none"/>
        </w:rPr>
        <w:fldChar w:fldCharType="separate"/>
      </w:r>
      <w:r>
        <w:rPr>
          <w:rFonts w:hint="eastAsia" w:ascii="宋体" w:hAnsi="宋体" w:eastAsia="宋体" w:cs="宋体"/>
          <w:sz w:val="21"/>
          <w:szCs w:val="11"/>
          <w:highlight w:val="none"/>
        </w:rPr>
        <w:t>九、其  他</w:t>
      </w:r>
      <w:r>
        <w:rPr>
          <w:sz w:val="21"/>
          <w:szCs w:val="11"/>
        </w:rPr>
        <w:tab/>
      </w:r>
      <w:r>
        <w:rPr>
          <w:sz w:val="21"/>
          <w:szCs w:val="11"/>
        </w:rPr>
        <w:fldChar w:fldCharType="begin"/>
      </w:r>
      <w:r>
        <w:rPr>
          <w:sz w:val="21"/>
          <w:szCs w:val="11"/>
        </w:rPr>
        <w:instrText xml:space="preserve"> PAGEREF _Toc21183 \h </w:instrText>
      </w:r>
      <w:r>
        <w:rPr>
          <w:sz w:val="21"/>
          <w:szCs w:val="11"/>
        </w:rPr>
        <w:fldChar w:fldCharType="separate"/>
      </w:r>
      <w:r>
        <w:rPr>
          <w:sz w:val="21"/>
          <w:szCs w:val="11"/>
        </w:rPr>
        <w:t>16</w:t>
      </w:r>
      <w:r>
        <w:rPr>
          <w:sz w:val="21"/>
          <w:szCs w:val="11"/>
        </w:rPr>
        <w:fldChar w:fldCharType="end"/>
      </w:r>
      <w:r>
        <w:rPr>
          <w:rFonts w:hint="eastAsia" w:hAnsi="宋体" w:cs="宋体"/>
          <w:bCs/>
          <w:color w:val="auto"/>
          <w:sz w:val="21"/>
          <w:szCs w:val="13"/>
          <w:highlight w:val="none"/>
        </w:rPr>
        <w:fldChar w:fldCharType="end"/>
      </w:r>
    </w:p>
    <w:p w14:paraId="2272B749">
      <w:pPr>
        <w:pStyle w:val="20"/>
        <w:tabs>
          <w:tab w:val="right" w:leader="dot" w:pos="8957"/>
        </w:tabs>
        <w:rPr>
          <w:b/>
          <w:bCs/>
          <w:sz w:val="22"/>
          <w:szCs w:val="13"/>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_Toc19048 </w:instrText>
      </w:r>
      <w:r>
        <w:rPr>
          <w:rFonts w:hint="eastAsia" w:hAnsi="宋体" w:cs="宋体"/>
          <w:b/>
          <w:bCs/>
          <w:sz w:val="22"/>
          <w:szCs w:val="15"/>
          <w:highlight w:val="none"/>
        </w:rPr>
        <w:fldChar w:fldCharType="separate"/>
      </w:r>
      <w:r>
        <w:rPr>
          <w:rFonts w:hint="eastAsia" w:hAnsi="宋体" w:cs="宋体"/>
          <w:b/>
          <w:bCs/>
          <w:sz w:val="22"/>
          <w:szCs w:val="21"/>
          <w:highlight w:val="none"/>
        </w:rPr>
        <w:t>第三章  供应商资格条件要求</w:t>
      </w:r>
      <w:r>
        <w:rPr>
          <w:b/>
          <w:bCs/>
          <w:sz w:val="22"/>
          <w:szCs w:val="13"/>
        </w:rPr>
        <w:tab/>
      </w:r>
      <w:r>
        <w:rPr>
          <w:b/>
          <w:bCs/>
          <w:sz w:val="22"/>
          <w:szCs w:val="13"/>
        </w:rPr>
        <w:fldChar w:fldCharType="begin"/>
      </w:r>
      <w:r>
        <w:rPr>
          <w:b/>
          <w:bCs/>
          <w:sz w:val="22"/>
          <w:szCs w:val="13"/>
        </w:rPr>
        <w:instrText xml:space="preserve"> PAGEREF _Toc19048 \h </w:instrText>
      </w:r>
      <w:r>
        <w:rPr>
          <w:b/>
          <w:bCs/>
          <w:sz w:val="22"/>
          <w:szCs w:val="13"/>
        </w:rPr>
        <w:fldChar w:fldCharType="separate"/>
      </w:r>
      <w:r>
        <w:rPr>
          <w:b/>
          <w:bCs/>
          <w:sz w:val="22"/>
          <w:szCs w:val="13"/>
        </w:rPr>
        <w:t>18</w:t>
      </w:r>
      <w:r>
        <w:rPr>
          <w:b/>
          <w:bCs/>
          <w:sz w:val="22"/>
          <w:szCs w:val="13"/>
        </w:rPr>
        <w:fldChar w:fldCharType="end"/>
      </w:r>
      <w:r>
        <w:rPr>
          <w:rFonts w:hint="eastAsia" w:hAnsi="宋体" w:cs="宋体"/>
          <w:b/>
          <w:bCs/>
          <w:color w:val="auto"/>
          <w:sz w:val="22"/>
          <w:szCs w:val="15"/>
          <w:highlight w:val="none"/>
        </w:rPr>
        <w:fldChar w:fldCharType="end"/>
      </w:r>
    </w:p>
    <w:p w14:paraId="7C4C6B23">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_Toc12654 </w:instrText>
      </w:r>
      <w:r>
        <w:rPr>
          <w:rFonts w:hint="eastAsia" w:hAnsi="宋体" w:cs="宋体"/>
          <w:bCs/>
          <w:sz w:val="21"/>
          <w:szCs w:val="13"/>
          <w:highlight w:val="none"/>
        </w:rPr>
        <w:fldChar w:fldCharType="separate"/>
      </w:r>
      <w:r>
        <w:rPr>
          <w:rFonts w:hint="eastAsia" w:hAnsi="宋体" w:cs="宋体"/>
          <w:bCs/>
          <w:sz w:val="21"/>
          <w:szCs w:val="11"/>
          <w:highlight w:val="none"/>
        </w:rPr>
        <w:t>一、供应商资格、资质性要求：</w:t>
      </w:r>
      <w:r>
        <w:rPr>
          <w:sz w:val="21"/>
          <w:szCs w:val="11"/>
        </w:rPr>
        <w:tab/>
      </w:r>
      <w:r>
        <w:rPr>
          <w:sz w:val="21"/>
          <w:szCs w:val="11"/>
        </w:rPr>
        <w:fldChar w:fldCharType="begin"/>
      </w:r>
      <w:r>
        <w:rPr>
          <w:sz w:val="21"/>
          <w:szCs w:val="11"/>
        </w:rPr>
        <w:instrText xml:space="preserve"> PAGEREF _Toc12654 \h </w:instrText>
      </w:r>
      <w:r>
        <w:rPr>
          <w:sz w:val="21"/>
          <w:szCs w:val="11"/>
        </w:rPr>
        <w:fldChar w:fldCharType="separate"/>
      </w:r>
      <w:r>
        <w:rPr>
          <w:sz w:val="21"/>
          <w:szCs w:val="11"/>
        </w:rPr>
        <w:t>18</w:t>
      </w:r>
      <w:r>
        <w:rPr>
          <w:sz w:val="21"/>
          <w:szCs w:val="11"/>
        </w:rPr>
        <w:fldChar w:fldCharType="end"/>
      </w:r>
      <w:r>
        <w:rPr>
          <w:rFonts w:hint="eastAsia" w:hAnsi="宋体" w:cs="宋体"/>
          <w:bCs/>
          <w:color w:val="auto"/>
          <w:sz w:val="21"/>
          <w:szCs w:val="13"/>
          <w:highlight w:val="none"/>
        </w:rPr>
        <w:fldChar w:fldCharType="end"/>
      </w:r>
    </w:p>
    <w:p w14:paraId="7202F1C6">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_Toc22091 </w:instrText>
      </w:r>
      <w:r>
        <w:rPr>
          <w:rFonts w:hint="eastAsia" w:hAnsi="宋体" w:cs="宋体"/>
          <w:bCs/>
          <w:sz w:val="21"/>
          <w:szCs w:val="13"/>
          <w:highlight w:val="none"/>
        </w:rPr>
        <w:fldChar w:fldCharType="separate"/>
      </w:r>
      <w:r>
        <w:rPr>
          <w:rFonts w:hint="eastAsia" w:hAnsi="宋体" w:cs="宋体"/>
          <w:bCs/>
          <w:sz w:val="21"/>
          <w:szCs w:val="11"/>
          <w:highlight w:val="none"/>
        </w:rPr>
        <w:t>二、供应商其他类似效力要求：</w:t>
      </w:r>
      <w:r>
        <w:rPr>
          <w:rFonts w:hint="eastAsia" w:hAnsi="宋体" w:cs="宋体"/>
          <w:sz w:val="21"/>
          <w:szCs w:val="11"/>
          <w:highlight w:val="none"/>
        </w:rPr>
        <w:t>详见第四章。</w:t>
      </w:r>
      <w:r>
        <w:rPr>
          <w:sz w:val="21"/>
          <w:szCs w:val="11"/>
        </w:rPr>
        <w:tab/>
      </w:r>
      <w:r>
        <w:rPr>
          <w:sz w:val="21"/>
          <w:szCs w:val="11"/>
        </w:rPr>
        <w:fldChar w:fldCharType="begin"/>
      </w:r>
      <w:r>
        <w:rPr>
          <w:sz w:val="21"/>
          <w:szCs w:val="11"/>
        </w:rPr>
        <w:instrText xml:space="preserve"> PAGEREF _Toc22091 \h </w:instrText>
      </w:r>
      <w:r>
        <w:rPr>
          <w:sz w:val="21"/>
          <w:szCs w:val="11"/>
        </w:rPr>
        <w:fldChar w:fldCharType="separate"/>
      </w:r>
      <w:r>
        <w:rPr>
          <w:sz w:val="21"/>
          <w:szCs w:val="11"/>
        </w:rPr>
        <w:t>18</w:t>
      </w:r>
      <w:r>
        <w:rPr>
          <w:sz w:val="21"/>
          <w:szCs w:val="11"/>
        </w:rPr>
        <w:fldChar w:fldCharType="end"/>
      </w:r>
      <w:r>
        <w:rPr>
          <w:rFonts w:hint="eastAsia" w:hAnsi="宋体" w:cs="宋体"/>
          <w:bCs/>
          <w:color w:val="auto"/>
          <w:sz w:val="21"/>
          <w:szCs w:val="13"/>
          <w:highlight w:val="none"/>
        </w:rPr>
        <w:fldChar w:fldCharType="end"/>
      </w:r>
    </w:p>
    <w:p w14:paraId="3613EA80">
      <w:pPr>
        <w:pStyle w:val="20"/>
        <w:tabs>
          <w:tab w:val="right" w:leader="dot" w:pos="8957"/>
        </w:tabs>
        <w:rPr>
          <w:rFonts w:hint="eastAsia" w:eastAsia="宋体"/>
          <w:b/>
          <w:bCs/>
          <w:sz w:val="22"/>
          <w:szCs w:val="13"/>
          <w:lang w:val="en-US" w:eastAsia="zh-CN"/>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_Toc19991 </w:instrText>
      </w:r>
      <w:r>
        <w:rPr>
          <w:rFonts w:hint="eastAsia" w:hAnsi="宋体" w:cs="宋体"/>
          <w:b/>
          <w:bCs/>
          <w:sz w:val="22"/>
          <w:szCs w:val="15"/>
          <w:highlight w:val="none"/>
        </w:rPr>
        <w:fldChar w:fldCharType="separate"/>
      </w:r>
      <w:r>
        <w:rPr>
          <w:rFonts w:hint="eastAsia" w:hAnsi="宋体" w:cs="宋体"/>
          <w:b/>
          <w:bCs/>
          <w:sz w:val="22"/>
          <w:szCs w:val="21"/>
          <w:highlight w:val="none"/>
        </w:rPr>
        <w:t>第四章  供应商资格证明材料</w:t>
      </w:r>
      <w:r>
        <w:rPr>
          <w:b/>
          <w:bCs/>
          <w:sz w:val="22"/>
          <w:szCs w:val="13"/>
        </w:rPr>
        <w:tab/>
      </w:r>
      <w:r>
        <w:rPr>
          <w:rFonts w:hint="eastAsia"/>
          <w:b/>
          <w:bCs/>
          <w:sz w:val="22"/>
          <w:szCs w:val="13"/>
          <w:lang w:val="en-US" w:eastAsia="zh-CN"/>
        </w:rPr>
        <w:t>1</w:t>
      </w:r>
      <w:r>
        <w:rPr>
          <w:rFonts w:hint="eastAsia" w:hAnsi="宋体" w:cs="宋体"/>
          <w:b/>
          <w:bCs/>
          <w:color w:val="auto"/>
          <w:sz w:val="22"/>
          <w:szCs w:val="15"/>
          <w:highlight w:val="none"/>
        </w:rPr>
        <w:fldChar w:fldCharType="end"/>
      </w:r>
      <w:r>
        <w:rPr>
          <w:rFonts w:hint="eastAsia" w:hAnsi="宋体" w:cs="宋体"/>
          <w:b/>
          <w:bCs/>
          <w:color w:val="auto"/>
          <w:sz w:val="22"/>
          <w:szCs w:val="15"/>
          <w:highlight w:val="none"/>
          <w:lang w:val="en-US" w:eastAsia="zh-CN"/>
        </w:rPr>
        <w:t>9</w:t>
      </w:r>
    </w:p>
    <w:p w14:paraId="1DD894CC">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_Toc5884 </w:instrText>
      </w:r>
      <w:r>
        <w:rPr>
          <w:rFonts w:hint="eastAsia" w:hAnsi="宋体" w:cs="宋体"/>
          <w:bCs/>
          <w:sz w:val="21"/>
          <w:szCs w:val="13"/>
          <w:highlight w:val="none"/>
        </w:rPr>
        <w:fldChar w:fldCharType="separate"/>
      </w:r>
      <w:r>
        <w:rPr>
          <w:rFonts w:hint="eastAsia" w:hAnsi="宋体" w:cs="宋体"/>
          <w:bCs/>
          <w:sz w:val="21"/>
          <w:szCs w:val="11"/>
          <w:highlight w:val="none"/>
        </w:rPr>
        <w:t>一、供应商应提交的资格证明材料</w:t>
      </w:r>
      <w:r>
        <w:rPr>
          <w:sz w:val="21"/>
          <w:szCs w:val="11"/>
        </w:rPr>
        <w:tab/>
      </w:r>
      <w:r>
        <w:rPr>
          <w:rFonts w:hint="eastAsia"/>
          <w:sz w:val="21"/>
          <w:szCs w:val="11"/>
          <w:lang w:val="en-US" w:eastAsia="zh-CN"/>
        </w:rPr>
        <w:t>1</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2883799C">
      <w:pPr>
        <w:pStyle w:val="23"/>
        <w:tabs>
          <w:tab w:val="right" w:leader="dot" w:pos="8957"/>
        </w:tabs>
        <w:rPr>
          <w:sz w:val="21"/>
          <w:szCs w:val="11"/>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_Toc16673 </w:instrText>
      </w:r>
      <w:r>
        <w:rPr>
          <w:rFonts w:hint="eastAsia" w:hAnsi="宋体" w:cs="宋体"/>
          <w:bCs/>
          <w:sz w:val="21"/>
          <w:szCs w:val="13"/>
          <w:highlight w:val="none"/>
        </w:rPr>
        <w:fldChar w:fldCharType="separate"/>
      </w:r>
      <w:r>
        <w:rPr>
          <w:rFonts w:hint="eastAsia" w:hAnsi="宋体" w:cs="宋体"/>
          <w:bCs/>
          <w:sz w:val="21"/>
          <w:szCs w:val="11"/>
        </w:rPr>
        <w:t>二、</w:t>
      </w:r>
      <w:r>
        <w:rPr>
          <w:rFonts w:hint="eastAsia" w:hAnsi="宋体" w:cs="宋体"/>
          <w:bCs/>
          <w:sz w:val="21"/>
          <w:szCs w:val="11"/>
          <w:highlight w:val="none"/>
        </w:rPr>
        <w:t>供应商其他类似效力要求的相关证明材料：</w:t>
      </w:r>
      <w:r>
        <w:rPr>
          <w:sz w:val="21"/>
          <w:szCs w:val="11"/>
        </w:rPr>
        <w:tab/>
      </w:r>
      <w:r>
        <w:rPr>
          <w:sz w:val="21"/>
          <w:szCs w:val="11"/>
        </w:rPr>
        <w:fldChar w:fldCharType="begin"/>
      </w:r>
      <w:r>
        <w:rPr>
          <w:sz w:val="21"/>
          <w:szCs w:val="11"/>
        </w:rPr>
        <w:instrText xml:space="preserve"> PAGEREF _Toc16673 \h </w:instrText>
      </w:r>
      <w:r>
        <w:rPr>
          <w:sz w:val="21"/>
          <w:szCs w:val="11"/>
        </w:rPr>
        <w:fldChar w:fldCharType="separate"/>
      </w:r>
      <w:r>
        <w:rPr>
          <w:sz w:val="21"/>
          <w:szCs w:val="11"/>
        </w:rPr>
        <w:t>20</w:t>
      </w:r>
      <w:r>
        <w:rPr>
          <w:sz w:val="21"/>
          <w:szCs w:val="11"/>
        </w:rPr>
        <w:fldChar w:fldCharType="end"/>
      </w:r>
      <w:r>
        <w:rPr>
          <w:rFonts w:hint="eastAsia" w:hAnsi="宋体" w:cs="宋体"/>
          <w:bCs/>
          <w:color w:val="auto"/>
          <w:sz w:val="21"/>
          <w:szCs w:val="13"/>
          <w:highlight w:val="none"/>
        </w:rPr>
        <w:fldChar w:fldCharType="end"/>
      </w:r>
    </w:p>
    <w:p w14:paraId="4A9B9931">
      <w:pPr>
        <w:pStyle w:val="20"/>
        <w:tabs>
          <w:tab w:val="right" w:leader="dot" w:pos="8957"/>
        </w:tabs>
        <w:rPr>
          <w:b/>
          <w:bCs/>
          <w:sz w:val="22"/>
          <w:szCs w:val="13"/>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_Toc13097 </w:instrText>
      </w:r>
      <w:r>
        <w:rPr>
          <w:rFonts w:hint="eastAsia" w:hAnsi="宋体" w:cs="宋体"/>
          <w:b/>
          <w:bCs/>
          <w:sz w:val="22"/>
          <w:szCs w:val="15"/>
          <w:highlight w:val="none"/>
        </w:rPr>
        <w:fldChar w:fldCharType="separate"/>
      </w:r>
      <w:r>
        <w:rPr>
          <w:rFonts w:hint="eastAsia" w:hAnsi="宋体" w:cs="宋体"/>
          <w:b/>
          <w:bCs/>
          <w:sz w:val="22"/>
          <w:szCs w:val="21"/>
        </w:rPr>
        <w:t xml:space="preserve">第五章 </w:t>
      </w:r>
      <w:r>
        <w:rPr>
          <w:rFonts w:hint="eastAsia" w:hAnsi="宋体" w:cs="宋体"/>
          <w:b/>
          <w:bCs/>
          <w:sz w:val="22"/>
          <w:szCs w:val="21"/>
          <w:highlight w:val="none"/>
        </w:rPr>
        <w:t>采购项目技术、服务、采购合同内容条款及其他商务要求</w:t>
      </w:r>
      <w:r>
        <w:rPr>
          <w:b/>
          <w:bCs/>
          <w:sz w:val="22"/>
          <w:szCs w:val="13"/>
        </w:rPr>
        <w:tab/>
      </w:r>
      <w:r>
        <w:rPr>
          <w:b/>
          <w:bCs/>
          <w:sz w:val="22"/>
          <w:szCs w:val="13"/>
        </w:rPr>
        <w:fldChar w:fldCharType="begin"/>
      </w:r>
      <w:r>
        <w:rPr>
          <w:b/>
          <w:bCs/>
          <w:sz w:val="22"/>
          <w:szCs w:val="13"/>
        </w:rPr>
        <w:instrText xml:space="preserve"> PAGEREF _Toc13097 \h </w:instrText>
      </w:r>
      <w:r>
        <w:rPr>
          <w:b/>
          <w:bCs/>
          <w:sz w:val="22"/>
          <w:szCs w:val="13"/>
        </w:rPr>
        <w:fldChar w:fldCharType="separate"/>
      </w:r>
      <w:r>
        <w:rPr>
          <w:b/>
          <w:bCs/>
          <w:sz w:val="22"/>
          <w:szCs w:val="13"/>
        </w:rPr>
        <w:t>21</w:t>
      </w:r>
      <w:r>
        <w:rPr>
          <w:b/>
          <w:bCs/>
          <w:sz w:val="22"/>
          <w:szCs w:val="13"/>
        </w:rPr>
        <w:fldChar w:fldCharType="end"/>
      </w:r>
      <w:r>
        <w:rPr>
          <w:rFonts w:hint="eastAsia" w:hAnsi="宋体" w:cs="宋体"/>
          <w:b/>
          <w:bCs/>
          <w:color w:val="auto"/>
          <w:sz w:val="22"/>
          <w:szCs w:val="15"/>
          <w:highlight w:val="none"/>
        </w:rPr>
        <w:fldChar w:fldCharType="end"/>
      </w:r>
    </w:p>
    <w:p w14:paraId="2A1E1669">
      <w:pPr>
        <w:pStyle w:val="20"/>
        <w:tabs>
          <w:tab w:val="right" w:leader="dot" w:pos="8957"/>
        </w:tabs>
        <w:rPr>
          <w:rFonts w:hint="eastAsia" w:eastAsia="宋体"/>
          <w:b/>
          <w:bCs/>
          <w:sz w:val="22"/>
          <w:szCs w:val="13"/>
          <w:lang w:val="en-US" w:eastAsia="zh-CN"/>
        </w:rPr>
      </w:pPr>
      <w:r>
        <w:rPr>
          <w:rFonts w:hint="eastAsia" w:hAnsi="宋体" w:cs="宋体"/>
          <w:b/>
          <w:bCs/>
          <w:color w:val="auto"/>
          <w:sz w:val="22"/>
          <w:szCs w:val="15"/>
          <w:highlight w:val="none"/>
        </w:rPr>
        <w:fldChar w:fldCharType="begin"/>
      </w:r>
      <w:r>
        <w:rPr>
          <w:rFonts w:hint="eastAsia" w:hAnsi="宋体" w:cs="宋体"/>
          <w:b/>
          <w:bCs/>
          <w:sz w:val="22"/>
          <w:szCs w:val="15"/>
          <w:highlight w:val="none"/>
        </w:rPr>
        <w:instrText xml:space="preserve"> HYPERLINK \l _Toc20186 </w:instrText>
      </w:r>
      <w:r>
        <w:rPr>
          <w:rFonts w:hint="eastAsia" w:hAnsi="宋体" w:cs="宋体"/>
          <w:b/>
          <w:bCs/>
          <w:sz w:val="22"/>
          <w:szCs w:val="15"/>
          <w:highlight w:val="none"/>
        </w:rPr>
        <w:fldChar w:fldCharType="separate"/>
      </w:r>
      <w:r>
        <w:rPr>
          <w:rFonts w:hint="eastAsia" w:hAnsi="宋体" w:cs="宋体"/>
          <w:b/>
          <w:bCs/>
          <w:sz w:val="22"/>
          <w:szCs w:val="21"/>
          <w:highlight w:val="none"/>
        </w:rPr>
        <w:t>第六章  响应文件格式</w:t>
      </w:r>
      <w:r>
        <w:rPr>
          <w:b/>
          <w:bCs/>
          <w:sz w:val="22"/>
          <w:szCs w:val="13"/>
        </w:rPr>
        <w:tab/>
      </w:r>
      <w:r>
        <w:rPr>
          <w:rFonts w:hint="eastAsia"/>
          <w:b/>
          <w:bCs/>
          <w:sz w:val="22"/>
          <w:szCs w:val="13"/>
          <w:lang w:val="en-US" w:eastAsia="zh-CN"/>
        </w:rPr>
        <w:t>2</w:t>
      </w:r>
      <w:r>
        <w:rPr>
          <w:rFonts w:hint="eastAsia" w:hAnsi="宋体" w:cs="宋体"/>
          <w:b/>
          <w:bCs/>
          <w:color w:val="auto"/>
          <w:sz w:val="22"/>
          <w:szCs w:val="15"/>
          <w:highlight w:val="none"/>
        </w:rPr>
        <w:fldChar w:fldCharType="end"/>
      </w:r>
      <w:r>
        <w:rPr>
          <w:rFonts w:hint="eastAsia" w:hAnsi="宋体" w:cs="宋体"/>
          <w:b/>
          <w:bCs/>
          <w:color w:val="auto"/>
          <w:sz w:val="22"/>
          <w:szCs w:val="15"/>
          <w:highlight w:val="none"/>
          <w:lang w:val="en-US" w:eastAsia="zh-CN"/>
        </w:rPr>
        <w:t>8</w:t>
      </w:r>
    </w:p>
    <w:p w14:paraId="3760DB73">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_Toc7384 </w:instrText>
      </w:r>
      <w:r>
        <w:rPr>
          <w:rFonts w:hint="eastAsia" w:hAnsi="宋体" w:cs="宋体"/>
          <w:bCs/>
          <w:sz w:val="21"/>
          <w:szCs w:val="13"/>
          <w:highlight w:val="none"/>
        </w:rPr>
        <w:fldChar w:fldCharType="separate"/>
      </w:r>
      <w:r>
        <w:rPr>
          <w:rFonts w:hint="eastAsia" w:hAnsi="宋体" w:cs="宋体"/>
          <w:bCs/>
          <w:sz w:val="21"/>
          <w:szCs w:val="18"/>
          <w:highlight w:val="none"/>
        </w:rPr>
        <w:t>第一部分   《资格性响应文件》格式</w:t>
      </w:r>
      <w:r>
        <w:rPr>
          <w:sz w:val="21"/>
          <w:szCs w:val="11"/>
        </w:rPr>
        <w:tab/>
      </w:r>
      <w:r>
        <w:rPr>
          <w:rFonts w:hint="eastAsia"/>
          <w:sz w:val="21"/>
          <w:szCs w:val="11"/>
          <w:lang w:val="en-US" w:eastAsia="zh-CN"/>
        </w:rPr>
        <w:t>2</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3B98D888">
      <w:pPr>
        <w:pStyle w:val="23"/>
        <w:tabs>
          <w:tab w:val="right" w:leader="dot" w:pos="8957"/>
        </w:tabs>
        <w:rPr>
          <w:rFonts w:hint="eastAsia" w:hAnsi="宋体" w:cs="宋体"/>
          <w:bCs/>
          <w:color w:val="auto"/>
          <w:sz w:val="21"/>
          <w:szCs w:val="13"/>
          <w:highlight w:val="none"/>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_Toc11358 </w:instrText>
      </w:r>
      <w:r>
        <w:rPr>
          <w:rFonts w:hint="eastAsia" w:hAnsi="宋体" w:cs="宋体"/>
          <w:bCs/>
          <w:sz w:val="21"/>
          <w:szCs w:val="13"/>
          <w:highlight w:val="none"/>
        </w:rPr>
        <w:fldChar w:fldCharType="separate"/>
      </w:r>
      <w:r>
        <w:rPr>
          <w:rFonts w:hint="eastAsia" w:hAnsi="宋体" w:cs="宋体"/>
          <w:bCs/>
          <w:sz w:val="21"/>
          <w:szCs w:val="18"/>
          <w:highlight w:val="none"/>
        </w:rPr>
        <w:t>格式1-1</w:t>
      </w:r>
      <w:r>
        <w:rPr>
          <w:rFonts w:hint="eastAsia" w:hAnsi="宋体" w:cs="宋体"/>
          <w:bCs/>
          <w:sz w:val="21"/>
          <w:szCs w:val="11"/>
          <w:highlight w:val="none"/>
        </w:rPr>
        <w:t xml:space="preserve">  封面</w:t>
      </w:r>
      <w:r>
        <w:rPr>
          <w:sz w:val="21"/>
          <w:szCs w:val="11"/>
        </w:rPr>
        <w:tab/>
      </w:r>
      <w:r>
        <w:rPr>
          <w:rFonts w:hint="eastAsia"/>
          <w:sz w:val="21"/>
          <w:szCs w:val="11"/>
          <w:lang w:val="en-US" w:eastAsia="zh-CN"/>
        </w:rPr>
        <w:t>2</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0BA6B3C5">
      <w:pPr>
        <w:keepNext w:val="0"/>
        <w:keepLines w:val="0"/>
        <w:pageBreakBefore w:val="0"/>
        <w:widowControl w:val="0"/>
        <w:kinsoku/>
        <w:wordWrap/>
        <w:overflowPunct/>
        <w:topLinePunct w:val="0"/>
        <w:autoSpaceDE/>
        <w:autoSpaceDN/>
        <w:bidi w:val="0"/>
        <w:adjustRightInd/>
        <w:snapToGrid/>
        <w:ind w:left="680" w:leftChars="200"/>
        <w:textAlignment w:val="auto"/>
        <w:rPr>
          <w:rFonts w:hint="default" w:ascii="宋体" w:hAnsi="宋体" w:eastAsia="宋体" w:cs="宋体"/>
          <w:bCs/>
          <w:sz w:val="21"/>
          <w:szCs w:val="11"/>
          <w:highlight w:val="none"/>
          <w:lang w:val="en-US" w:eastAsia="zh-CN" w:bidi="ar-SA"/>
        </w:rPr>
      </w:pPr>
      <w:r>
        <w:rPr>
          <w:rFonts w:hint="eastAsia" w:asciiTheme="majorEastAsia" w:hAnsiTheme="majorEastAsia" w:eastAsiaTheme="majorEastAsia" w:cstheme="majorEastAsia"/>
          <w:sz w:val="21"/>
          <w:szCs w:val="21"/>
          <w:lang w:val="en-US" w:eastAsia="zh-CN"/>
        </w:rPr>
        <w:t xml:space="preserve">格式1-2  </w:t>
      </w:r>
      <w:r>
        <w:rPr>
          <w:rFonts w:hint="eastAsia" w:ascii="宋体" w:hAnsi="宋体" w:eastAsia="宋体" w:cs="宋体"/>
          <w:bCs/>
          <w:sz w:val="21"/>
          <w:szCs w:val="11"/>
          <w:highlight w:val="none"/>
          <w:lang w:val="en-US" w:eastAsia="zh-CN" w:bidi="ar-SA"/>
        </w:rPr>
        <w:t>法定代表人/单位负责人证明书</w:t>
      </w:r>
      <w:r>
        <w:rPr>
          <w:rFonts w:hint="eastAsia" w:hAnsi="宋体" w:cs="宋体"/>
          <w:bCs/>
          <w:sz w:val="21"/>
          <w:szCs w:val="11"/>
          <w:highlight w:val="none"/>
          <w:lang w:val="en-US" w:eastAsia="zh-CN" w:bidi="ar-SA"/>
        </w:rPr>
        <w:t>........................................ 30</w:t>
      </w:r>
    </w:p>
    <w:p w14:paraId="4C963DD6">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_Toc15159 </w:instrText>
      </w:r>
      <w:r>
        <w:rPr>
          <w:rFonts w:hint="eastAsia" w:hAnsi="宋体" w:cs="宋体"/>
          <w:bCs/>
          <w:sz w:val="21"/>
          <w:szCs w:val="13"/>
          <w:highlight w:val="none"/>
        </w:rPr>
        <w:fldChar w:fldCharType="separate"/>
      </w:r>
      <w:r>
        <w:rPr>
          <w:rFonts w:hint="eastAsia" w:hAnsi="宋体" w:cs="宋体"/>
          <w:bCs/>
          <w:sz w:val="21"/>
          <w:szCs w:val="18"/>
          <w:highlight w:val="none"/>
        </w:rPr>
        <w:t>格式1-3  法定代表人/单位负责人授权书</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1</w:t>
      </w:r>
    </w:p>
    <w:p w14:paraId="468E6D1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_Toc6300 </w:instrText>
      </w:r>
      <w:r>
        <w:rPr>
          <w:rFonts w:hint="eastAsia" w:hAnsi="宋体" w:cs="宋体"/>
          <w:bCs/>
          <w:sz w:val="21"/>
          <w:szCs w:val="13"/>
          <w:highlight w:val="none"/>
        </w:rPr>
        <w:fldChar w:fldCharType="separate"/>
      </w:r>
      <w:r>
        <w:rPr>
          <w:rFonts w:hint="eastAsia" w:hAnsi="宋体" w:cs="宋体"/>
          <w:bCs/>
          <w:sz w:val="21"/>
          <w:szCs w:val="18"/>
          <w:highlight w:val="none"/>
        </w:rPr>
        <w:t>格式1-4  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2</w:t>
      </w:r>
    </w:p>
    <w:p w14:paraId="5E316820">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_Toc23568 </w:instrText>
      </w:r>
      <w:r>
        <w:rPr>
          <w:rFonts w:hint="eastAsia" w:hAnsi="宋体" w:cs="宋体"/>
          <w:bCs/>
          <w:sz w:val="21"/>
          <w:szCs w:val="13"/>
          <w:highlight w:val="none"/>
        </w:rPr>
        <w:fldChar w:fldCharType="separate"/>
      </w:r>
      <w:r>
        <w:rPr>
          <w:rFonts w:hint="eastAsia" w:hAnsi="宋体" w:cs="宋体"/>
          <w:bCs/>
          <w:sz w:val="21"/>
          <w:szCs w:val="18"/>
          <w:highlight w:val="none"/>
        </w:rPr>
        <w:t>格式1-5  具有良好的商业信誉承诺函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0E2AECF4">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_Toc21119 </w:instrText>
      </w:r>
      <w:r>
        <w:rPr>
          <w:rFonts w:hint="eastAsia" w:hAnsi="宋体" w:cs="宋体"/>
          <w:bCs/>
          <w:sz w:val="21"/>
          <w:szCs w:val="13"/>
          <w:highlight w:val="none"/>
        </w:rPr>
        <w:fldChar w:fldCharType="separate"/>
      </w:r>
      <w:r>
        <w:rPr>
          <w:rFonts w:hint="eastAsia" w:hAnsi="宋体" w:cs="宋体"/>
          <w:bCs/>
          <w:sz w:val="21"/>
          <w:szCs w:val="18"/>
          <w:highlight w:val="none"/>
        </w:rPr>
        <w:t>格式1-6  参加采购活动前三年内，在经营活动中没有重大违法记录的承诺函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4</w:t>
      </w:r>
    </w:p>
    <w:p w14:paraId="70ED3F1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_Toc29116 </w:instrText>
      </w:r>
      <w:r>
        <w:rPr>
          <w:rFonts w:hint="eastAsia" w:hAnsi="宋体" w:cs="宋体"/>
          <w:bCs/>
          <w:sz w:val="21"/>
          <w:szCs w:val="13"/>
          <w:highlight w:val="none"/>
        </w:rPr>
        <w:fldChar w:fldCharType="separate"/>
      </w:r>
      <w:r>
        <w:rPr>
          <w:rFonts w:hint="eastAsia" w:hAnsi="宋体" w:cs="宋体"/>
          <w:bCs/>
          <w:sz w:val="21"/>
          <w:szCs w:val="18"/>
          <w:highlight w:val="none"/>
        </w:rPr>
        <w:t>格式1-7  法律、行政法规规定的其他条件的承诺函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5</w:t>
      </w:r>
    </w:p>
    <w:p w14:paraId="1E3B3AC7">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_Toc32149 </w:instrText>
      </w:r>
      <w:r>
        <w:rPr>
          <w:rFonts w:hint="eastAsia" w:hAnsi="宋体" w:cs="宋体"/>
          <w:bCs/>
          <w:sz w:val="21"/>
          <w:szCs w:val="13"/>
          <w:highlight w:val="none"/>
        </w:rPr>
        <w:fldChar w:fldCharType="separate"/>
      </w:r>
      <w:r>
        <w:rPr>
          <w:rFonts w:hint="eastAsia" w:hAnsi="宋体" w:cs="宋体"/>
          <w:bCs/>
          <w:sz w:val="21"/>
          <w:szCs w:val="18"/>
          <w:highlight w:val="none"/>
        </w:rPr>
        <w:t>格式1-</w:t>
      </w:r>
      <w:r>
        <w:rPr>
          <w:rFonts w:hint="eastAsia" w:hAnsi="宋体" w:cs="宋体"/>
          <w:bCs/>
          <w:sz w:val="21"/>
          <w:szCs w:val="18"/>
          <w:highlight w:val="none"/>
          <w:lang w:val="en-US" w:eastAsia="zh-CN"/>
        </w:rPr>
        <w:t>8</w:t>
      </w:r>
      <w:r>
        <w:rPr>
          <w:rFonts w:hint="eastAsia" w:hAnsi="宋体" w:cs="宋体"/>
          <w:bCs/>
          <w:sz w:val="21"/>
          <w:szCs w:val="18"/>
          <w:highlight w:val="none"/>
        </w:rPr>
        <w:t>应当提供的供应商资格、资质性及其他类似效力要求的相关证明材料</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6</w:t>
      </w:r>
    </w:p>
    <w:p w14:paraId="27FEF8C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_Toc2505 </w:instrText>
      </w:r>
      <w:r>
        <w:rPr>
          <w:rFonts w:hint="eastAsia" w:hAnsi="宋体" w:cs="宋体"/>
          <w:bCs/>
          <w:sz w:val="21"/>
          <w:szCs w:val="13"/>
          <w:highlight w:val="none"/>
        </w:rPr>
        <w:fldChar w:fldCharType="separate"/>
      </w:r>
      <w:r>
        <w:rPr>
          <w:rFonts w:hint="eastAsia" w:hAnsi="宋体" w:cs="宋体"/>
          <w:bCs/>
          <w:sz w:val="21"/>
          <w:szCs w:val="18"/>
          <w:highlight w:val="none"/>
        </w:rPr>
        <w:t>第二部分   《其他响应文件》格式</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7</w:t>
      </w:r>
    </w:p>
    <w:p w14:paraId="0B39BB1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_Toc20642 </w:instrText>
      </w:r>
      <w:r>
        <w:rPr>
          <w:rFonts w:hint="eastAsia" w:hAnsi="宋体" w:cs="宋体"/>
          <w:bCs/>
          <w:sz w:val="21"/>
          <w:szCs w:val="13"/>
          <w:highlight w:val="none"/>
        </w:rPr>
        <w:fldChar w:fldCharType="separate"/>
      </w:r>
      <w:r>
        <w:rPr>
          <w:rFonts w:hint="eastAsia" w:hAnsi="宋体" w:cs="宋体"/>
          <w:bCs/>
          <w:sz w:val="21"/>
          <w:szCs w:val="18"/>
          <w:highlight w:val="none"/>
        </w:rPr>
        <w:t>格式2-1</w:t>
      </w:r>
      <w:r>
        <w:rPr>
          <w:rFonts w:hint="eastAsia" w:hAnsi="宋体" w:cs="宋体"/>
          <w:bCs/>
          <w:sz w:val="21"/>
          <w:szCs w:val="11"/>
          <w:highlight w:val="none"/>
        </w:rPr>
        <w:t xml:space="preserve">  封面</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7</w:t>
      </w:r>
    </w:p>
    <w:p w14:paraId="4E33F24D">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_Toc2477 </w:instrText>
      </w:r>
      <w:r>
        <w:rPr>
          <w:rFonts w:hint="eastAsia" w:hAnsi="宋体" w:cs="宋体"/>
          <w:bCs/>
          <w:sz w:val="21"/>
          <w:szCs w:val="13"/>
          <w:highlight w:val="none"/>
        </w:rPr>
        <w:fldChar w:fldCharType="separate"/>
      </w:r>
      <w:r>
        <w:rPr>
          <w:rFonts w:hint="eastAsia" w:hAnsi="宋体" w:cs="宋体"/>
          <w:bCs/>
          <w:sz w:val="21"/>
          <w:szCs w:val="18"/>
          <w:highlight w:val="none"/>
        </w:rPr>
        <w:t>格式2-2  响应函</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8</w:t>
      </w:r>
    </w:p>
    <w:p w14:paraId="015C28F1">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_Toc27200 </w:instrText>
      </w:r>
      <w:r>
        <w:rPr>
          <w:rFonts w:hint="eastAsia" w:hAnsi="宋体" w:cs="宋体"/>
          <w:bCs/>
          <w:sz w:val="21"/>
          <w:szCs w:val="13"/>
          <w:highlight w:val="none"/>
        </w:rPr>
        <w:fldChar w:fldCharType="separate"/>
      </w:r>
      <w:r>
        <w:rPr>
          <w:rFonts w:hint="eastAsia" w:hAnsi="宋体" w:cs="宋体"/>
          <w:bCs/>
          <w:sz w:val="21"/>
          <w:szCs w:val="18"/>
          <w:highlight w:val="none"/>
        </w:rPr>
        <w:t>格式2-3  首轮报价表</w:t>
      </w:r>
      <w:r>
        <w:rPr>
          <w:sz w:val="21"/>
          <w:szCs w:val="11"/>
        </w:rPr>
        <w:tab/>
      </w:r>
      <w:r>
        <w:rPr>
          <w:rFonts w:hint="eastAsia"/>
          <w:sz w:val="21"/>
          <w:szCs w:val="11"/>
          <w:lang w:val="en-US" w:eastAsia="zh-CN"/>
        </w:rPr>
        <w:t>3</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9</w:t>
      </w:r>
    </w:p>
    <w:p w14:paraId="3FFA9F2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_Toc927 </w:instrText>
      </w:r>
      <w:r>
        <w:rPr>
          <w:rFonts w:hint="eastAsia" w:hAnsi="宋体" w:cs="宋体"/>
          <w:bCs/>
          <w:sz w:val="21"/>
          <w:szCs w:val="13"/>
          <w:highlight w:val="none"/>
        </w:rPr>
        <w:fldChar w:fldCharType="separate"/>
      </w:r>
      <w:r>
        <w:rPr>
          <w:rFonts w:hint="eastAsia" w:hAnsi="宋体" w:cs="宋体"/>
          <w:bCs/>
          <w:sz w:val="21"/>
          <w:szCs w:val="18"/>
          <w:highlight w:val="none"/>
        </w:rPr>
        <w:t>格式2-4 分项报价表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0</w:t>
      </w:r>
    </w:p>
    <w:p w14:paraId="3475E335">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_Toc12240 </w:instrText>
      </w:r>
      <w:r>
        <w:rPr>
          <w:rFonts w:hint="eastAsia" w:hAnsi="宋体" w:cs="宋体"/>
          <w:bCs/>
          <w:sz w:val="21"/>
          <w:szCs w:val="13"/>
          <w:highlight w:val="none"/>
        </w:rPr>
        <w:fldChar w:fldCharType="separate"/>
      </w:r>
      <w:r>
        <w:rPr>
          <w:rFonts w:hint="eastAsia" w:hAnsi="宋体" w:cs="宋体"/>
          <w:bCs/>
          <w:sz w:val="21"/>
          <w:szCs w:val="18"/>
          <w:highlight w:val="none"/>
        </w:rPr>
        <w:t>格式2-5 商务应答表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1</w:t>
      </w:r>
    </w:p>
    <w:p w14:paraId="15C3E2A5">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_Toc8577 </w:instrText>
      </w:r>
      <w:r>
        <w:rPr>
          <w:rFonts w:hint="eastAsia" w:hAnsi="宋体" w:cs="宋体"/>
          <w:bCs/>
          <w:sz w:val="21"/>
          <w:szCs w:val="13"/>
          <w:highlight w:val="none"/>
        </w:rPr>
        <w:fldChar w:fldCharType="separate"/>
      </w:r>
      <w:r>
        <w:rPr>
          <w:rFonts w:hint="eastAsia" w:hAnsi="宋体" w:cs="宋体"/>
          <w:bCs/>
          <w:sz w:val="21"/>
          <w:szCs w:val="18"/>
          <w:highlight w:val="none"/>
        </w:rPr>
        <w:t>格式2-6 供应商基本情况表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2</w:t>
      </w:r>
    </w:p>
    <w:p w14:paraId="46362975">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_Toc3086 </w:instrText>
      </w:r>
      <w:r>
        <w:rPr>
          <w:rFonts w:hint="eastAsia" w:hAnsi="宋体" w:cs="宋体"/>
          <w:bCs/>
          <w:sz w:val="21"/>
          <w:szCs w:val="13"/>
          <w:highlight w:val="none"/>
        </w:rPr>
        <w:fldChar w:fldCharType="separate"/>
      </w:r>
      <w:r>
        <w:rPr>
          <w:rFonts w:hint="eastAsia" w:hAnsi="宋体" w:cs="宋体"/>
          <w:bCs/>
          <w:sz w:val="21"/>
          <w:szCs w:val="18"/>
          <w:highlight w:val="none"/>
        </w:rPr>
        <w:t>格式2-7  供应商类似项目业绩一览表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6749832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_Toc26173 </w:instrText>
      </w:r>
      <w:r>
        <w:rPr>
          <w:rFonts w:hint="eastAsia" w:hAnsi="宋体" w:cs="宋体"/>
          <w:bCs/>
          <w:sz w:val="21"/>
          <w:szCs w:val="13"/>
          <w:highlight w:val="none"/>
        </w:rPr>
        <w:fldChar w:fldCharType="separate"/>
      </w:r>
      <w:r>
        <w:rPr>
          <w:rFonts w:hint="eastAsia" w:hAnsi="宋体" w:cs="宋体"/>
          <w:bCs/>
          <w:sz w:val="21"/>
          <w:szCs w:val="18"/>
          <w:highlight w:val="none"/>
        </w:rPr>
        <w:t>格式2-8  技术/服务要求应答表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4</w:t>
      </w:r>
    </w:p>
    <w:p w14:paraId="68BE770D">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_Toc16417 </w:instrText>
      </w:r>
      <w:r>
        <w:rPr>
          <w:rFonts w:hint="eastAsia" w:hAnsi="宋体" w:cs="宋体"/>
          <w:bCs/>
          <w:sz w:val="21"/>
          <w:szCs w:val="13"/>
          <w:highlight w:val="none"/>
        </w:rPr>
        <w:fldChar w:fldCharType="separate"/>
      </w:r>
      <w:r>
        <w:rPr>
          <w:rFonts w:hint="eastAsia" w:hAnsi="宋体" w:cs="宋体"/>
          <w:bCs/>
          <w:sz w:val="21"/>
          <w:szCs w:val="18"/>
          <w:highlight w:val="none"/>
        </w:rPr>
        <w:t>格式2-9  供应商本项目管理、技术、服务人员情况表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5</w:t>
      </w:r>
    </w:p>
    <w:p w14:paraId="38B5D2C0">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_Toc5965 </w:instrText>
      </w:r>
      <w:r>
        <w:rPr>
          <w:rFonts w:hint="eastAsia" w:hAnsi="宋体" w:cs="宋体"/>
          <w:bCs/>
          <w:sz w:val="21"/>
          <w:szCs w:val="13"/>
          <w:highlight w:val="none"/>
        </w:rPr>
        <w:fldChar w:fldCharType="separate"/>
      </w:r>
      <w:r>
        <w:rPr>
          <w:rFonts w:hint="eastAsia" w:hAnsi="宋体" w:cs="宋体"/>
          <w:bCs/>
          <w:sz w:val="21"/>
          <w:szCs w:val="18"/>
          <w:highlight w:val="none"/>
        </w:rPr>
        <w:t>格式2-10  现场报价表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6</w:t>
      </w:r>
    </w:p>
    <w:p w14:paraId="0D5B82B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_Toc18602 </w:instrText>
      </w:r>
      <w:r>
        <w:rPr>
          <w:rFonts w:hint="eastAsia" w:hAnsi="宋体" w:cs="宋体"/>
          <w:bCs/>
          <w:sz w:val="21"/>
          <w:szCs w:val="13"/>
          <w:highlight w:val="none"/>
        </w:rPr>
        <w:fldChar w:fldCharType="separate"/>
      </w:r>
      <w:r>
        <w:rPr>
          <w:rFonts w:hint="eastAsia" w:hAnsi="宋体" w:cs="宋体"/>
          <w:bCs/>
          <w:sz w:val="21"/>
          <w:szCs w:val="18"/>
          <w:highlight w:val="none"/>
        </w:rPr>
        <w:t>格式2-11 现场报价分项明细表</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7</w:t>
      </w:r>
    </w:p>
    <w:p w14:paraId="3C587B71">
      <w:pPr>
        <w:pStyle w:val="20"/>
        <w:tabs>
          <w:tab w:val="right" w:leader="dot" w:pos="8957"/>
        </w:tabs>
        <w:rPr>
          <w:rFonts w:hint="eastAsia" w:eastAsia="宋体"/>
          <w:b/>
          <w:sz w:val="22"/>
          <w:szCs w:val="13"/>
          <w:lang w:val="en-US" w:eastAsia="zh-CN"/>
        </w:rPr>
      </w:pPr>
      <w:r>
        <w:rPr>
          <w:rFonts w:hint="eastAsia" w:hAnsi="宋体" w:cs="宋体"/>
          <w:b/>
          <w:bCs w:val="0"/>
          <w:color w:val="auto"/>
          <w:sz w:val="22"/>
          <w:szCs w:val="15"/>
          <w:highlight w:val="none"/>
        </w:rPr>
        <w:fldChar w:fldCharType="begin"/>
      </w:r>
      <w:r>
        <w:rPr>
          <w:rFonts w:hint="eastAsia" w:hAnsi="宋体" w:cs="宋体"/>
          <w:b/>
          <w:bCs w:val="0"/>
          <w:sz w:val="22"/>
          <w:szCs w:val="15"/>
          <w:highlight w:val="none"/>
        </w:rPr>
        <w:instrText xml:space="preserve"> HYPERLINK \l _Toc8101 </w:instrText>
      </w:r>
      <w:r>
        <w:rPr>
          <w:rFonts w:hint="eastAsia" w:hAnsi="宋体" w:cs="宋体"/>
          <w:b/>
          <w:bCs w:val="0"/>
          <w:sz w:val="22"/>
          <w:szCs w:val="15"/>
          <w:highlight w:val="none"/>
        </w:rPr>
        <w:fldChar w:fldCharType="separate"/>
      </w:r>
      <w:r>
        <w:rPr>
          <w:rFonts w:hint="eastAsia" w:hAnsi="宋体" w:cs="宋体"/>
          <w:b/>
          <w:bCs w:val="0"/>
          <w:sz w:val="22"/>
          <w:szCs w:val="21"/>
          <w:highlight w:val="none"/>
        </w:rPr>
        <w:t>第七章 评审方法</w:t>
      </w:r>
      <w:r>
        <w:rPr>
          <w:b/>
          <w:sz w:val="22"/>
          <w:szCs w:val="13"/>
        </w:rPr>
        <w:tab/>
      </w:r>
      <w:r>
        <w:rPr>
          <w:rFonts w:hint="eastAsia"/>
          <w:b/>
          <w:sz w:val="22"/>
          <w:szCs w:val="13"/>
          <w:lang w:val="en-US" w:eastAsia="zh-CN"/>
        </w:rPr>
        <w:t>4</w:t>
      </w:r>
      <w:r>
        <w:rPr>
          <w:rFonts w:hint="eastAsia" w:hAnsi="宋体" w:cs="宋体"/>
          <w:b/>
          <w:bCs w:val="0"/>
          <w:color w:val="auto"/>
          <w:sz w:val="22"/>
          <w:szCs w:val="15"/>
          <w:highlight w:val="none"/>
        </w:rPr>
        <w:fldChar w:fldCharType="end"/>
      </w:r>
      <w:r>
        <w:rPr>
          <w:rFonts w:hint="eastAsia" w:hAnsi="宋体" w:cs="宋体"/>
          <w:b/>
          <w:bCs w:val="0"/>
          <w:color w:val="auto"/>
          <w:sz w:val="22"/>
          <w:szCs w:val="15"/>
          <w:highlight w:val="none"/>
          <w:lang w:val="en-US" w:eastAsia="zh-CN"/>
        </w:rPr>
        <w:t>8</w:t>
      </w:r>
    </w:p>
    <w:p w14:paraId="44E25D7F">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_Toc27253 </w:instrText>
      </w:r>
      <w:r>
        <w:rPr>
          <w:rFonts w:hint="eastAsia" w:hAnsi="宋体" w:cs="宋体"/>
          <w:bCs/>
          <w:sz w:val="21"/>
          <w:szCs w:val="13"/>
          <w:highlight w:val="none"/>
        </w:rPr>
        <w:fldChar w:fldCharType="separate"/>
      </w:r>
      <w:r>
        <w:rPr>
          <w:rFonts w:hint="eastAsia" w:hAnsi="宋体" w:cs="宋体"/>
          <w:bCs/>
          <w:sz w:val="21"/>
          <w:szCs w:val="11"/>
          <w:highlight w:val="none"/>
        </w:rPr>
        <w:t>1.总则</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8</w:t>
      </w:r>
    </w:p>
    <w:p w14:paraId="3B27C399">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_Toc10223 </w:instrText>
      </w:r>
      <w:r>
        <w:rPr>
          <w:rFonts w:hint="eastAsia" w:hAnsi="宋体" w:cs="宋体"/>
          <w:bCs/>
          <w:sz w:val="21"/>
          <w:szCs w:val="13"/>
          <w:highlight w:val="none"/>
        </w:rPr>
        <w:fldChar w:fldCharType="separate"/>
      </w:r>
      <w:r>
        <w:rPr>
          <w:rFonts w:hint="eastAsia" w:hAnsi="宋体" w:cs="宋体"/>
          <w:bCs/>
          <w:sz w:val="21"/>
          <w:szCs w:val="11"/>
          <w:highlight w:val="none"/>
        </w:rPr>
        <w:t>2.磋商程序</w:t>
      </w:r>
      <w:r>
        <w:rPr>
          <w:sz w:val="21"/>
          <w:szCs w:val="11"/>
        </w:rPr>
        <w:tab/>
      </w:r>
      <w:r>
        <w:rPr>
          <w:rFonts w:hint="eastAsia"/>
          <w:sz w:val="21"/>
          <w:szCs w:val="11"/>
          <w:lang w:val="en-US" w:eastAsia="zh-CN"/>
        </w:rPr>
        <w:t>4</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8</w:t>
      </w:r>
    </w:p>
    <w:p w14:paraId="54A9205A">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_Toc11823 </w:instrText>
      </w:r>
      <w:r>
        <w:rPr>
          <w:rFonts w:hint="eastAsia" w:hAnsi="宋体" w:cs="宋体"/>
          <w:bCs/>
          <w:sz w:val="21"/>
          <w:szCs w:val="13"/>
          <w:highlight w:val="none"/>
        </w:rPr>
        <w:fldChar w:fldCharType="separate"/>
      </w:r>
      <w:r>
        <w:rPr>
          <w:rFonts w:hint="eastAsia" w:hAnsi="宋体" w:cs="宋体"/>
          <w:bCs/>
          <w:sz w:val="21"/>
          <w:szCs w:val="11"/>
          <w:highlight w:val="none"/>
        </w:rPr>
        <w:t>3.综合评分</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1</w:t>
      </w:r>
    </w:p>
    <w:p w14:paraId="291CD038">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_Toc22038 </w:instrText>
      </w:r>
      <w:r>
        <w:rPr>
          <w:rFonts w:hint="eastAsia" w:hAnsi="宋体" w:cs="宋体"/>
          <w:bCs/>
          <w:sz w:val="21"/>
          <w:szCs w:val="13"/>
          <w:highlight w:val="none"/>
        </w:rPr>
        <w:fldChar w:fldCharType="separate"/>
      </w:r>
      <w:r>
        <w:rPr>
          <w:rFonts w:hint="eastAsia" w:hAnsi="宋体" w:cs="宋体"/>
          <w:sz w:val="21"/>
          <w:szCs w:val="11"/>
          <w:highlight w:val="none"/>
        </w:rPr>
        <w:t>4.磋商纪律及注意事项</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2</w:t>
      </w:r>
    </w:p>
    <w:p w14:paraId="34C46477">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_Toc2653 </w:instrText>
      </w:r>
      <w:r>
        <w:rPr>
          <w:rFonts w:hint="eastAsia" w:hAnsi="宋体" w:cs="宋体"/>
          <w:bCs/>
          <w:sz w:val="21"/>
          <w:szCs w:val="13"/>
          <w:highlight w:val="none"/>
        </w:rPr>
        <w:fldChar w:fldCharType="separate"/>
      </w:r>
      <w:r>
        <w:rPr>
          <w:rFonts w:hint="eastAsia" w:hAnsi="宋体" w:cs="宋体"/>
          <w:sz w:val="21"/>
          <w:szCs w:val="11"/>
          <w:highlight w:val="none"/>
        </w:rPr>
        <w:t>5.磋商小组在采购活动中承担以下义务：</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6CBC628D">
      <w:pPr>
        <w:pStyle w:val="23"/>
        <w:tabs>
          <w:tab w:val="right" w:leader="dot" w:pos="8957"/>
        </w:tabs>
        <w:rPr>
          <w:rFonts w:hint="eastAsia" w:eastAsia="宋体"/>
          <w:sz w:val="21"/>
          <w:szCs w:val="11"/>
          <w:lang w:val="en-US" w:eastAsia="zh-CN"/>
        </w:rPr>
      </w:pPr>
      <w:r>
        <w:rPr>
          <w:rFonts w:hint="eastAsia" w:hAnsi="宋体" w:cs="宋体"/>
          <w:bCs/>
          <w:color w:val="auto"/>
          <w:sz w:val="21"/>
          <w:szCs w:val="13"/>
          <w:highlight w:val="none"/>
        </w:rPr>
        <w:fldChar w:fldCharType="begin"/>
      </w:r>
      <w:r>
        <w:rPr>
          <w:rFonts w:hint="eastAsia" w:hAnsi="宋体" w:cs="宋体"/>
          <w:bCs/>
          <w:sz w:val="21"/>
          <w:szCs w:val="13"/>
          <w:highlight w:val="none"/>
        </w:rPr>
        <w:instrText xml:space="preserve"> HYPERLINK \l _Toc5568 </w:instrText>
      </w:r>
      <w:r>
        <w:rPr>
          <w:rFonts w:hint="eastAsia" w:hAnsi="宋体" w:cs="宋体"/>
          <w:bCs/>
          <w:sz w:val="21"/>
          <w:szCs w:val="13"/>
          <w:highlight w:val="none"/>
        </w:rPr>
        <w:fldChar w:fldCharType="separate"/>
      </w:r>
      <w:r>
        <w:rPr>
          <w:rFonts w:hint="eastAsia" w:hAnsi="宋体" w:cs="宋体"/>
          <w:sz w:val="21"/>
          <w:szCs w:val="11"/>
          <w:highlight w:val="none"/>
        </w:rPr>
        <w:t>6.评审专家在采购活动中应当遵守以下工作纪律：</w:t>
      </w:r>
      <w:r>
        <w:rPr>
          <w:sz w:val="21"/>
          <w:szCs w:val="11"/>
        </w:rPr>
        <w:tab/>
      </w:r>
      <w:r>
        <w:rPr>
          <w:rFonts w:hint="eastAsia"/>
          <w:sz w:val="21"/>
          <w:szCs w:val="11"/>
          <w:lang w:val="en-US" w:eastAsia="zh-CN"/>
        </w:rPr>
        <w:t>5</w:t>
      </w:r>
      <w:r>
        <w:rPr>
          <w:rFonts w:hint="eastAsia" w:hAnsi="宋体" w:cs="宋体"/>
          <w:bCs/>
          <w:color w:val="auto"/>
          <w:sz w:val="21"/>
          <w:szCs w:val="13"/>
          <w:highlight w:val="none"/>
        </w:rPr>
        <w:fldChar w:fldCharType="end"/>
      </w:r>
      <w:r>
        <w:rPr>
          <w:rFonts w:hint="eastAsia" w:hAnsi="宋体" w:cs="宋体"/>
          <w:bCs/>
          <w:color w:val="auto"/>
          <w:sz w:val="21"/>
          <w:szCs w:val="13"/>
          <w:highlight w:val="none"/>
          <w:lang w:val="en-US" w:eastAsia="zh-CN"/>
        </w:rPr>
        <w:t>3</w:t>
      </w:r>
    </w:p>
    <w:p w14:paraId="79A52CC0">
      <w:pPr>
        <w:pStyle w:val="20"/>
        <w:tabs>
          <w:tab w:val="right" w:leader="dot" w:pos="8957"/>
        </w:tabs>
        <w:rPr>
          <w:rFonts w:hint="eastAsia" w:eastAsia="宋体"/>
          <w:b/>
          <w:sz w:val="22"/>
          <w:szCs w:val="13"/>
          <w:lang w:val="en-US" w:eastAsia="zh-CN"/>
        </w:rPr>
      </w:pPr>
      <w:r>
        <w:rPr>
          <w:rFonts w:hint="eastAsia" w:hAnsi="宋体" w:cs="宋体"/>
          <w:b/>
          <w:bCs w:val="0"/>
          <w:color w:val="auto"/>
          <w:sz w:val="22"/>
          <w:szCs w:val="15"/>
          <w:highlight w:val="none"/>
        </w:rPr>
        <w:fldChar w:fldCharType="begin"/>
      </w:r>
      <w:r>
        <w:rPr>
          <w:rFonts w:hint="eastAsia" w:hAnsi="宋体" w:cs="宋体"/>
          <w:b/>
          <w:bCs w:val="0"/>
          <w:sz w:val="22"/>
          <w:szCs w:val="15"/>
          <w:highlight w:val="none"/>
        </w:rPr>
        <w:instrText xml:space="preserve"> HYPERLINK \l _Toc6619 </w:instrText>
      </w:r>
      <w:r>
        <w:rPr>
          <w:rFonts w:hint="eastAsia" w:hAnsi="宋体" w:cs="宋体"/>
          <w:b/>
          <w:bCs w:val="0"/>
          <w:sz w:val="22"/>
          <w:szCs w:val="15"/>
          <w:highlight w:val="none"/>
        </w:rPr>
        <w:fldChar w:fldCharType="separate"/>
      </w:r>
      <w:r>
        <w:rPr>
          <w:rFonts w:hint="eastAsia" w:hAnsi="宋体" w:cs="宋体"/>
          <w:b/>
          <w:bCs w:val="0"/>
          <w:sz w:val="22"/>
          <w:szCs w:val="21"/>
          <w:highlight w:val="none"/>
        </w:rPr>
        <w:t>第八章 采购合同</w:t>
      </w:r>
      <w:r>
        <w:rPr>
          <w:b/>
          <w:sz w:val="22"/>
          <w:szCs w:val="13"/>
        </w:rPr>
        <w:tab/>
      </w:r>
      <w:r>
        <w:rPr>
          <w:rFonts w:hint="eastAsia"/>
          <w:b/>
          <w:sz w:val="22"/>
          <w:szCs w:val="13"/>
          <w:lang w:val="en-US" w:eastAsia="zh-CN"/>
        </w:rPr>
        <w:t>5</w:t>
      </w:r>
      <w:r>
        <w:rPr>
          <w:rFonts w:hint="eastAsia" w:hAnsi="宋体" w:cs="宋体"/>
          <w:b/>
          <w:bCs w:val="0"/>
          <w:color w:val="auto"/>
          <w:sz w:val="22"/>
          <w:szCs w:val="15"/>
          <w:highlight w:val="none"/>
        </w:rPr>
        <w:fldChar w:fldCharType="end"/>
      </w:r>
      <w:r>
        <w:rPr>
          <w:rFonts w:hint="eastAsia" w:hAnsi="宋体" w:cs="宋体"/>
          <w:b/>
          <w:bCs w:val="0"/>
          <w:color w:val="auto"/>
          <w:sz w:val="22"/>
          <w:szCs w:val="15"/>
          <w:highlight w:val="none"/>
          <w:lang w:val="en-US" w:eastAsia="zh-CN"/>
        </w:rPr>
        <w:t>4</w:t>
      </w:r>
    </w:p>
    <w:p w14:paraId="04F63F58">
      <w:pPr>
        <w:shd w:val="clear" w:color="auto" w:fill="auto"/>
        <w:outlineLvl w:val="9"/>
        <w:rPr>
          <w:rFonts w:hint="eastAsia" w:hAnsi="宋体" w:cs="宋体"/>
          <w:b/>
          <w:color w:val="auto"/>
          <w:sz w:val="32"/>
          <w:szCs w:val="32"/>
          <w:highlight w:val="none"/>
        </w:rPr>
      </w:pPr>
      <w:r>
        <w:rPr>
          <w:rFonts w:hint="eastAsia" w:hAnsi="宋体" w:cs="宋体"/>
          <w:bCs/>
          <w:color w:val="auto"/>
          <w:sz w:val="15"/>
          <w:szCs w:val="15"/>
          <w:highlight w:val="none"/>
        </w:rPr>
        <w:fldChar w:fldCharType="end"/>
      </w:r>
      <w:bookmarkStart w:id="3" w:name="_Toc28312"/>
      <w:bookmarkStart w:id="4" w:name="_Toc21912"/>
      <w:bookmarkStart w:id="5" w:name="_Toc30967"/>
      <w:bookmarkStart w:id="6" w:name="_Toc3420"/>
      <w:bookmarkStart w:id="7" w:name="_Toc24013"/>
      <w:bookmarkStart w:id="8" w:name="_Toc7415"/>
      <w:bookmarkStart w:id="9" w:name="_Toc28809"/>
      <w:bookmarkStart w:id="10" w:name="_Toc231"/>
      <w:bookmarkStart w:id="11" w:name="_Toc25511"/>
      <w:bookmarkStart w:id="12" w:name="_Toc27668"/>
    </w:p>
    <w:p w14:paraId="7CEE2068">
      <w:pPr>
        <w:shd w:val="clear" w:color="auto" w:fill="auto"/>
        <w:jc w:val="center"/>
        <w:outlineLvl w:val="0"/>
        <w:rPr>
          <w:rFonts w:hint="eastAsia" w:hAnsi="宋体" w:cs="宋体"/>
          <w:color w:val="auto"/>
          <w:highlight w:val="none"/>
        </w:rPr>
      </w:pPr>
      <w:bookmarkStart w:id="13" w:name="_Toc10157"/>
      <w:bookmarkStart w:id="14" w:name="_Toc3624"/>
      <w:bookmarkStart w:id="15" w:name="_Toc16020"/>
      <w:r>
        <w:rPr>
          <w:rFonts w:hint="eastAsia" w:hAnsi="宋体" w:cs="宋体"/>
          <w:b/>
          <w:color w:val="auto"/>
          <w:sz w:val="32"/>
          <w:szCs w:val="32"/>
          <w:highlight w:val="none"/>
        </w:rPr>
        <w:t>第一章  磋商邀请</w:t>
      </w:r>
      <w:bookmarkEnd w:id="3"/>
      <w:bookmarkEnd w:id="4"/>
      <w:bookmarkEnd w:id="5"/>
      <w:bookmarkEnd w:id="6"/>
      <w:bookmarkEnd w:id="7"/>
      <w:bookmarkEnd w:id="8"/>
      <w:bookmarkEnd w:id="9"/>
      <w:bookmarkEnd w:id="10"/>
      <w:bookmarkEnd w:id="11"/>
      <w:bookmarkEnd w:id="12"/>
      <w:bookmarkEnd w:id="13"/>
      <w:bookmarkEnd w:id="14"/>
      <w:bookmarkEnd w:id="15"/>
    </w:p>
    <w:p w14:paraId="4B1BE32F">
      <w:pPr>
        <w:shd w:val="clear" w:color="auto" w:fill="auto"/>
        <w:spacing w:line="440" w:lineRule="exact"/>
        <w:ind w:firstLine="720" w:firstLineChars="300"/>
        <w:jc w:val="left"/>
        <w:rPr>
          <w:rFonts w:hint="eastAsia" w:hAnsi="宋体" w:cs="宋体"/>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拟对</w:t>
      </w:r>
      <w:r>
        <w:rPr>
          <w:rFonts w:hint="eastAsia" w:hAnsi="宋体" w:cs="宋体"/>
          <w:color w:val="auto"/>
          <w:sz w:val="24"/>
          <w:highlight w:val="none"/>
          <w:u w:val="single"/>
          <w:lang w:eastAsia="zh-CN"/>
        </w:rPr>
        <w:t>资中县中医医院一次性活检针等医用耗材采购项目（</w:t>
      </w:r>
      <w:r>
        <w:rPr>
          <w:rFonts w:hint="eastAsia" w:hAnsi="宋体" w:cs="宋体"/>
          <w:color w:val="auto"/>
          <w:sz w:val="24"/>
          <w:highlight w:val="none"/>
          <w:u w:val="single"/>
          <w:lang w:val="en-US" w:eastAsia="zh-CN"/>
        </w:rPr>
        <w:t>二次</w:t>
      </w:r>
      <w:r>
        <w:rPr>
          <w:rFonts w:hint="eastAsia" w:hAnsi="宋体" w:cs="宋体"/>
          <w:color w:val="auto"/>
          <w:sz w:val="24"/>
          <w:highlight w:val="none"/>
          <w:u w:val="single"/>
          <w:lang w:eastAsia="zh-CN"/>
        </w:rPr>
        <w:t>）</w:t>
      </w:r>
      <w:r>
        <w:rPr>
          <w:rFonts w:hint="eastAsia" w:hAnsi="宋体" w:cs="宋体"/>
          <w:color w:val="auto"/>
          <w:sz w:val="24"/>
          <w:highlight w:val="none"/>
        </w:rPr>
        <w:t>采用竞争性磋商方式进行采购，特邀请符合本次采购要求的供应商参加本项目的竞争性磋商。</w:t>
      </w:r>
    </w:p>
    <w:p w14:paraId="6B271FD6">
      <w:pPr>
        <w:shd w:val="clear" w:color="auto" w:fill="auto"/>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一、采购项目基本情况</w:t>
      </w:r>
    </w:p>
    <w:p w14:paraId="19C38B6E">
      <w:pPr>
        <w:shd w:val="clear" w:color="auto" w:fill="auto"/>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eastAsia="zh-CN"/>
        </w:rPr>
        <w:t>项目编号：YNCG（2025）013</w:t>
      </w:r>
      <w:r>
        <w:rPr>
          <w:rFonts w:hint="eastAsia" w:hAnsi="宋体" w:cs="宋体"/>
          <w:color w:val="auto"/>
          <w:sz w:val="24"/>
          <w:highlight w:val="none"/>
        </w:rPr>
        <w:t>。</w:t>
      </w:r>
    </w:p>
    <w:p w14:paraId="4AB1C6EB">
      <w:pPr>
        <w:shd w:val="clear" w:color="auto" w:fill="auto"/>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2.采购项目名称：</w:t>
      </w:r>
      <w:r>
        <w:rPr>
          <w:rFonts w:hint="eastAsia" w:hAnsi="宋体" w:cs="宋体"/>
          <w:sz w:val="24"/>
          <w:highlight w:val="none"/>
          <w:lang w:eastAsia="zh-CN"/>
        </w:rPr>
        <w:t>资中县中医医院一次性活检针等医用耗材</w:t>
      </w:r>
      <w:r>
        <w:rPr>
          <w:rFonts w:hint="eastAsia" w:ascii="宋体" w:hAnsi="宋体" w:cs="宋体"/>
          <w:sz w:val="24"/>
          <w:highlight w:val="none"/>
          <w:lang w:eastAsia="zh-CN"/>
        </w:rPr>
        <w:t>采购项目</w:t>
      </w:r>
      <w:r>
        <w:rPr>
          <w:rFonts w:hint="eastAsia" w:hAnsi="宋体" w:cs="宋体"/>
          <w:sz w:val="24"/>
          <w:highlight w:val="none"/>
          <w:lang w:eastAsia="zh-CN"/>
        </w:rPr>
        <w:t>（</w:t>
      </w:r>
      <w:r>
        <w:rPr>
          <w:rFonts w:hint="eastAsia" w:hAnsi="宋体" w:cs="宋体"/>
          <w:sz w:val="24"/>
          <w:highlight w:val="none"/>
          <w:lang w:val="en-US" w:eastAsia="zh-CN"/>
        </w:rPr>
        <w:t>二次</w:t>
      </w:r>
      <w:r>
        <w:rPr>
          <w:rFonts w:hint="eastAsia" w:hAnsi="宋体" w:cs="宋体"/>
          <w:sz w:val="24"/>
          <w:highlight w:val="none"/>
          <w:lang w:eastAsia="zh-CN"/>
        </w:rPr>
        <w:t>）</w:t>
      </w:r>
      <w:r>
        <w:rPr>
          <w:rFonts w:hint="eastAsia" w:hAnsi="宋体" w:cs="宋体"/>
          <w:color w:val="auto"/>
          <w:sz w:val="24"/>
          <w:highlight w:val="none"/>
        </w:rPr>
        <w:t>。</w:t>
      </w:r>
    </w:p>
    <w:p w14:paraId="0FC72035">
      <w:pPr>
        <w:shd w:val="clear" w:color="auto" w:fill="auto"/>
        <w:spacing w:line="440" w:lineRule="exact"/>
        <w:ind w:firstLine="480" w:firstLineChars="200"/>
        <w:rPr>
          <w:rFonts w:hint="eastAsia" w:hAnsi="宋体" w:cs="宋体"/>
          <w:color w:val="auto"/>
          <w:sz w:val="24"/>
          <w:highlight w:val="none"/>
        </w:rPr>
      </w:pPr>
      <w:r>
        <w:rPr>
          <w:rFonts w:hint="eastAsia" w:hAnsi="宋体" w:cs="宋体"/>
          <w:color w:val="auto"/>
          <w:sz w:val="24"/>
          <w:highlight w:val="none"/>
        </w:rPr>
        <w:t>3.采购人：</w:t>
      </w:r>
      <w:r>
        <w:rPr>
          <w:rFonts w:hint="eastAsia" w:hAnsi="宋体" w:cs="宋体"/>
          <w:color w:val="auto"/>
          <w:sz w:val="24"/>
          <w:highlight w:val="none"/>
          <w:lang w:eastAsia="zh-CN"/>
        </w:rPr>
        <w:t>资中县中医医院</w:t>
      </w:r>
      <w:r>
        <w:rPr>
          <w:rFonts w:hint="eastAsia" w:hAnsi="宋体" w:cs="宋体"/>
          <w:color w:val="auto"/>
          <w:sz w:val="24"/>
          <w:highlight w:val="none"/>
        </w:rPr>
        <w:t>。</w:t>
      </w:r>
    </w:p>
    <w:p w14:paraId="5B7162D5">
      <w:pPr>
        <w:shd w:val="clear" w:color="auto" w:fill="auto"/>
        <w:tabs>
          <w:tab w:val="left" w:pos="5919"/>
        </w:tabs>
        <w:spacing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二、资金情况</w:t>
      </w:r>
      <w:r>
        <w:rPr>
          <w:rFonts w:hint="eastAsia" w:hAnsi="宋体" w:cs="宋体"/>
          <w:b/>
          <w:bCs/>
          <w:color w:val="auto"/>
          <w:sz w:val="24"/>
          <w:highlight w:val="none"/>
        </w:rPr>
        <w:tab/>
      </w:r>
    </w:p>
    <w:p w14:paraId="4795A5B9">
      <w:pPr>
        <w:shd w:val="clear" w:color="auto" w:fill="auto"/>
        <w:spacing w:line="440" w:lineRule="exact"/>
        <w:ind w:right="51" w:rightChars="15" w:firstLine="480" w:firstLineChars="200"/>
        <w:rPr>
          <w:rFonts w:hint="eastAsia" w:hAnsi="宋体" w:cs="宋体"/>
          <w:b/>
          <w:bCs/>
          <w:color w:val="auto"/>
          <w:sz w:val="24"/>
          <w:highlight w:val="none"/>
        </w:rPr>
      </w:pPr>
      <w:r>
        <w:rPr>
          <w:rFonts w:hint="eastAsia" w:hAnsi="宋体" w:cs="宋体"/>
          <w:color w:val="auto"/>
          <w:sz w:val="24"/>
          <w:highlight w:val="none"/>
        </w:rPr>
        <w:t>资金来源：</w:t>
      </w:r>
      <w:r>
        <w:rPr>
          <w:rFonts w:hint="eastAsia" w:hAnsi="宋体" w:cs="宋体"/>
          <w:color w:val="auto"/>
          <w:sz w:val="24"/>
          <w:highlight w:val="none"/>
          <w:lang w:eastAsia="zh-CN"/>
        </w:rPr>
        <w:t>自筹资金</w:t>
      </w:r>
      <w:r>
        <w:rPr>
          <w:rFonts w:hint="eastAsia" w:hAnsi="宋体" w:cs="宋体"/>
          <w:color w:val="auto"/>
          <w:sz w:val="24"/>
          <w:highlight w:val="none"/>
        </w:rPr>
        <w:t>。</w:t>
      </w:r>
    </w:p>
    <w:p w14:paraId="7B4454AE">
      <w:pPr>
        <w:shd w:val="clear" w:color="auto" w:fill="auto"/>
        <w:spacing w:line="440" w:lineRule="exact"/>
        <w:ind w:firstLine="482" w:firstLineChars="200"/>
        <w:rPr>
          <w:rFonts w:hint="eastAsia" w:hAnsi="宋体" w:cs="宋体"/>
          <w:b/>
          <w:color w:val="auto"/>
          <w:sz w:val="24"/>
          <w:highlight w:val="none"/>
        </w:rPr>
      </w:pPr>
      <w:r>
        <w:rPr>
          <w:rFonts w:hint="eastAsia" w:hAnsi="宋体" w:cs="宋体"/>
          <w:b/>
          <w:color w:val="auto"/>
          <w:sz w:val="24"/>
          <w:highlight w:val="none"/>
        </w:rPr>
        <w:t>三、采购项目简介：</w:t>
      </w:r>
    </w:p>
    <w:p w14:paraId="380AD7A0">
      <w:pPr>
        <w:shd w:val="clear" w:color="auto" w:fill="auto"/>
        <w:spacing w:after="120" w:line="440" w:lineRule="exact"/>
        <w:ind w:firstLine="480" w:firstLineChars="200"/>
        <w:rPr>
          <w:rFonts w:hint="eastAsia" w:hAnsi="宋体" w:cs="宋体"/>
          <w:bCs/>
          <w:color w:val="auto"/>
          <w:sz w:val="24"/>
          <w:highlight w:val="none"/>
        </w:rPr>
      </w:pPr>
      <w:r>
        <w:rPr>
          <w:rFonts w:hint="eastAsia" w:hAnsi="宋体" w:cs="宋体"/>
          <w:color w:val="auto"/>
          <w:sz w:val="24"/>
          <w:highlight w:val="none"/>
          <w:lang w:eastAsia="zh-CN"/>
        </w:rPr>
        <w:t>部分挂网耗材配送</w:t>
      </w:r>
      <w:r>
        <w:rPr>
          <w:rFonts w:hint="eastAsia" w:hAnsi="宋体" w:cs="宋体"/>
          <w:color w:val="auto"/>
          <w:sz w:val="24"/>
          <w:highlight w:val="none"/>
        </w:rPr>
        <w:t>，一项</w:t>
      </w:r>
      <w:r>
        <w:rPr>
          <w:rFonts w:hint="eastAsia" w:hAnsi="宋体" w:cs="宋体"/>
          <w:bCs/>
          <w:color w:val="auto"/>
          <w:sz w:val="24"/>
          <w:highlight w:val="none"/>
        </w:rPr>
        <w:t>。（详见磋商文件第五章）</w:t>
      </w:r>
    </w:p>
    <w:p w14:paraId="7F912047">
      <w:pPr>
        <w:shd w:val="clear" w:color="auto" w:fill="auto"/>
        <w:spacing w:after="120" w:line="440" w:lineRule="exact"/>
        <w:ind w:firstLine="482" w:firstLineChars="200"/>
        <w:rPr>
          <w:rFonts w:hint="default" w:hAnsi="宋体" w:eastAsia="宋体" w:cs="宋体"/>
          <w:b/>
          <w:bCs/>
          <w:color w:val="auto"/>
          <w:sz w:val="24"/>
          <w:highlight w:val="none"/>
          <w:lang w:val="en-US" w:eastAsia="zh-CN"/>
        </w:rPr>
      </w:pPr>
      <w:r>
        <w:rPr>
          <w:rFonts w:hint="eastAsia" w:hAnsi="宋体" w:cs="宋体"/>
          <w:b/>
          <w:bCs/>
          <w:color w:val="auto"/>
          <w:sz w:val="24"/>
          <w:highlight w:val="none"/>
        </w:rPr>
        <w:t>四、供应商邀请方式</w:t>
      </w:r>
      <w:r>
        <w:rPr>
          <w:rFonts w:hint="eastAsia" w:hAnsi="宋体" w:cs="宋体"/>
          <w:b/>
          <w:bCs/>
          <w:color w:val="auto"/>
          <w:sz w:val="24"/>
          <w:highlight w:val="none"/>
          <w:lang w:val="en-US" w:eastAsia="zh-CN"/>
        </w:rPr>
        <w:t xml:space="preserve">  </w:t>
      </w:r>
    </w:p>
    <w:p w14:paraId="69A50809">
      <w:pPr>
        <w:shd w:val="clear" w:color="auto" w:fill="auto"/>
        <w:spacing w:after="120" w:line="440" w:lineRule="exact"/>
        <w:ind w:firstLine="720" w:firstLineChars="300"/>
        <w:rPr>
          <w:rFonts w:hint="eastAsia" w:hAnsi="宋体" w:cs="宋体"/>
          <w:bCs/>
          <w:color w:val="auto"/>
          <w:sz w:val="24"/>
          <w:highlight w:val="none"/>
        </w:rPr>
      </w:pPr>
      <w:r>
        <w:rPr>
          <w:rFonts w:hint="eastAsia" w:hAnsi="宋体" w:cs="宋体"/>
          <w:bCs/>
          <w:color w:val="auto"/>
          <w:sz w:val="24"/>
          <w:highlight w:val="none"/>
        </w:rPr>
        <w:t>公告方式：本次竞争性磋商邀请在</w:t>
      </w:r>
      <w:r>
        <w:rPr>
          <w:rFonts w:hint="eastAsia" w:hAnsi="宋体" w:cs="宋体"/>
          <w:bCs/>
          <w:color w:val="000000" w:themeColor="text1"/>
          <w:sz w:val="24"/>
          <w:highlight w:val="none"/>
          <w:lang w:eastAsia="zh-CN"/>
          <w14:textFill>
            <w14:solidFill>
              <w14:schemeClr w14:val="tx1"/>
            </w14:solidFill>
          </w14:textFill>
        </w:rPr>
        <w:t>资中县中医医院官方网站</w:t>
      </w:r>
      <w:r>
        <w:rPr>
          <w:rFonts w:hint="eastAsia" w:hAnsi="宋体" w:cs="宋体"/>
          <w:bCs/>
          <w:color w:val="auto"/>
          <w:sz w:val="24"/>
          <w:highlight w:val="none"/>
          <w:lang w:eastAsia="zh-CN"/>
        </w:rPr>
        <w:t>（http://zzxzyyy.cn/）</w:t>
      </w:r>
      <w:r>
        <w:rPr>
          <w:rFonts w:hint="eastAsia" w:hAnsi="宋体" w:cs="宋体"/>
          <w:bCs/>
          <w:color w:val="auto"/>
          <w:sz w:val="24"/>
          <w:highlight w:val="none"/>
        </w:rPr>
        <w:t>上以公告形式发布。</w:t>
      </w:r>
    </w:p>
    <w:p w14:paraId="14F46930">
      <w:pPr>
        <w:shd w:val="clear" w:color="auto" w:fill="auto"/>
        <w:spacing w:after="120" w:line="44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五、供应商参加本次采购活动应具备下列条件</w:t>
      </w:r>
    </w:p>
    <w:p w14:paraId="166CB2EB">
      <w:pPr>
        <w:pStyle w:val="13"/>
        <w:numPr>
          <w:ilvl w:val="0"/>
          <w:numId w:val="0"/>
        </w:numPr>
        <w:shd w:val="clear" w:color="auto" w:fill="auto"/>
        <w:spacing w:before="146" w:line="360" w:lineRule="auto"/>
        <w:ind w:left="580"/>
        <w:outlineLvl w:val="1"/>
        <w:rPr>
          <w:rFonts w:hint="eastAsia" w:ascii="宋体" w:hAnsi="宋体" w:eastAsia="宋体" w:cs="宋体"/>
          <w:b/>
          <w:bCs/>
          <w:color w:val="auto"/>
          <w:sz w:val="24"/>
          <w:highlight w:val="none"/>
          <w:lang w:val="en-US" w:eastAsia="zh-CN" w:bidi="ar-SA"/>
        </w:rPr>
      </w:pPr>
      <w:bookmarkStart w:id="16" w:name="_Toc9817"/>
      <w:bookmarkStart w:id="17" w:name="_Toc18546"/>
      <w:bookmarkStart w:id="18" w:name="_Toc26142"/>
      <w:r>
        <w:rPr>
          <w:rFonts w:hint="eastAsia" w:ascii="宋体" w:hAnsi="宋体" w:eastAsia="宋体" w:cs="宋体"/>
          <w:b/>
          <w:bCs/>
          <w:color w:val="auto"/>
          <w:sz w:val="24"/>
          <w:highlight w:val="none"/>
          <w:lang w:val="en-US" w:eastAsia="zh-CN" w:bidi="ar-SA"/>
        </w:rPr>
        <w:t>(一)符合《中华人民共和国采购法》第二十二条规定的条件：</w:t>
      </w:r>
      <w:bookmarkEnd w:id="16"/>
      <w:bookmarkEnd w:id="17"/>
      <w:bookmarkEnd w:id="18"/>
    </w:p>
    <w:p w14:paraId="070ED628">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1.具有独立承担民事责任的能力；</w:t>
      </w:r>
    </w:p>
    <w:p w14:paraId="58732667">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2.具有良好的商业信誉和健全的财务会计制度；</w:t>
      </w:r>
    </w:p>
    <w:p w14:paraId="04828A7D">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3.具有履行合同所必需的设备和专业技术能力；</w:t>
      </w:r>
    </w:p>
    <w:p w14:paraId="517F6C23">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4.具有依法缴纳税收和社会保障资金的良好记录；</w:t>
      </w:r>
    </w:p>
    <w:p w14:paraId="0B0F9DEB">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5.参加采购活动的近三年内，在经营活动中没有重大违法记录；</w:t>
      </w:r>
    </w:p>
    <w:p w14:paraId="472F21F5">
      <w:pPr>
        <w:pStyle w:val="92"/>
        <w:shd w:val="clear" w:color="auto" w:fill="auto"/>
        <w:spacing w:line="360" w:lineRule="auto"/>
        <w:ind w:firstLine="600" w:firstLineChars="250"/>
        <w:rPr>
          <w:rFonts w:hint="eastAsia" w:hAnsi="宋体" w:cs="宋体"/>
          <w:bCs/>
          <w:color w:val="auto"/>
          <w:sz w:val="24"/>
          <w:highlight w:val="none"/>
        </w:rPr>
      </w:pPr>
      <w:r>
        <w:rPr>
          <w:rFonts w:hint="eastAsia" w:hAnsi="宋体" w:cs="宋体"/>
          <w:color w:val="auto"/>
          <w:sz w:val="24"/>
          <w:highlight w:val="none"/>
        </w:rPr>
        <w:t>6.法律、行政法规规定的其他条件</w:t>
      </w:r>
      <w:r>
        <w:rPr>
          <w:rFonts w:hint="eastAsia" w:hAnsi="宋体" w:cs="宋体"/>
          <w:bCs/>
          <w:color w:val="auto"/>
          <w:sz w:val="24"/>
          <w:highlight w:val="none"/>
        </w:rPr>
        <w:t>；</w:t>
      </w:r>
    </w:p>
    <w:p w14:paraId="45502212">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rPr>
        <w:t>7.根据采购项目提出的特殊条件：</w:t>
      </w:r>
    </w:p>
    <w:p w14:paraId="253CF17A">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1参加本项目采购活动的供应商须为“四川省医疗保障信息大数据一体化平台药品和医用耗材招采管理子系统（招采子系统）”中的配送单位。</w:t>
      </w:r>
    </w:p>
    <w:p w14:paraId="584C940F">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2所响应产品需为医用耗材招采管理子系统挂网产品（如涉及）。</w:t>
      </w:r>
    </w:p>
    <w:p w14:paraId="6F26B08D">
      <w:pPr>
        <w:pStyle w:val="92"/>
        <w:shd w:val="clear" w:color="auto" w:fill="auto"/>
        <w:spacing w:line="360" w:lineRule="auto"/>
        <w:ind w:firstLine="600" w:firstLineChars="250"/>
        <w:rPr>
          <w:rFonts w:hint="eastAsia" w:hAnsi="宋体" w:cs="宋体"/>
          <w:color w:val="auto"/>
          <w:sz w:val="24"/>
          <w:highlight w:val="none"/>
          <w:lang w:eastAsia="zh-CN"/>
        </w:rPr>
      </w:pPr>
      <w:r>
        <w:rPr>
          <w:rFonts w:hint="eastAsia" w:hAnsi="宋体" w:cs="宋体"/>
          <w:color w:val="auto"/>
          <w:sz w:val="24"/>
          <w:highlight w:val="none"/>
          <w:lang w:val="en-US" w:eastAsia="zh-CN"/>
        </w:rPr>
        <w:t>7.</w:t>
      </w:r>
      <w:r>
        <w:rPr>
          <w:rFonts w:hint="eastAsia" w:hAnsi="宋体" w:cs="宋体"/>
          <w:color w:val="auto"/>
          <w:sz w:val="24"/>
          <w:highlight w:val="none"/>
        </w:rPr>
        <w:t>3制造商参加投标的，提供制造商《医疗器械生产企业许可证》、投标产品《医疗器械注册证》或备案资料复印件</w:t>
      </w:r>
      <w:r>
        <w:rPr>
          <w:rFonts w:hint="eastAsia" w:hAnsi="宋体" w:cs="宋体"/>
          <w:color w:val="auto"/>
          <w:sz w:val="24"/>
          <w:highlight w:val="none"/>
          <w:lang w:eastAsia="zh-CN"/>
        </w:rPr>
        <w:t>。</w:t>
      </w:r>
    </w:p>
    <w:p w14:paraId="0BC3B150">
      <w:pPr>
        <w:pStyle w:val="92"/>
        <w:shd w:val="clear" w:color="auto" w:fill="auto"/>
        <w:spacing w:line="360" w:lineRule="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4.经销商参加投标的提供《医疗器械经营企业许可证》、投标产品《医疗器械注册证》或备案资料复印件</w:t>
      </w:r>
      <w:r>
        <w:rPr>
          <w:rFonts w:hint="eastAsia" w:hAnsi="宋体" w:cs="宋体"/>
          <w:color w:val="auto"/>
          <w:sz w:val="24"/>
          <w:highlight w:val="none"/>
          <w:lang w:eastAsia="zh-CN"/>
        </w:rPr>
        <w:t>。</w:t>
      </w:r>
    </w:p>
    <w:p w14:paraId="1E42529F">
      <w:pPr>
        <w:pStyle w:val="92"/>
        <w:shd w:val="clear" w:color="auto" w:fill="auto"/>
        <w:ind w:firstLine="482"/>
        <w:outlineLvl w:val="1"/>
        <w:rPr>
          <w:rFonts w:hint="eastAsia" w:hAnsi="宋体" w:cs="宋体"/>
          <w:b/>
          <w:color w:val="auto"/>
          <w:sz w:val="24"/>
          <w:highlight w:val="none"/>
        </w:rPr>
      </w:pPr>
      <w:bookmarkStart w:id="19" w:name="_Toc8020"/>
      <w:bookmarkStart w:id="20" w:name="_Toc27331"/>
      <w:bookmarkStart w:id="21" w:name="_Toc23839"/>
      <w:bookmarkStart w:id="22" w:name="_Toc19364"/>
      <w:r>
        <w:rPr>
          <w:rFonts w:hint="eastAsia" w:hAnsi="宋体" w:cs="宋体"/>
          <w:b/>
          <w:color w:val="auto"/>
          <w:sz w:val="24"/>
          <w:highlight w:val="none"/>
        </w:rPr>
        <w:t>（二）本项目不接受联合体参与。</w:t>
      </w:r>
      <w:bookmarkEnd w:id="19"/>
      <w:bookmarkEnd w:id="20"/>
      <w:bookmarkEnd w:id="21"/>
      <w:bookmarkEnd w:id="22"/>
    </w:p>
    <w:p w14:paraId="2B18EFA4">
      <w:pPr>
        <w:shd w:val="clear" w:color="auto" w:fill="auto"/>
        <w:spacing w:after="50"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六、磋商文件获取时间、地点：</w:t>
      </w:r>
    </w:p>
    <w:p w14:paraId="54E586C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textAlignment w:val="auto"/>
        <w:rPr>
          <w:rFonts w:hint="eastAsia" w:hAnsi="宋体" w:cs="宋体"/>
          <w:color w:val="auto"/>
          <w:sz w:val="24"/>
          <w:highlight w:val="none"/>
          <w:lang w:val="en-US" w:eastAsia="zh-CN"/>
        </w:rPr>
      </w:pPr>
      <w:r>
        <w:rPr>
          <w:rFonts w:hint="eastAsia" w:hAnsi="宋体" w:cs="宋体"/>
          <w:b/>
          <w:bCs/>
          <w:color w:val="auto"/>
          <w:sz w:val="24"/>
          <w:highlight w:val="none"/>
        </w:rPr>
        <w:t>（一）获取磋商文件的时间期限(即报名时间)</w:t>
      </w:r>
      <w:r>
        <w:rPr>
          <w:rFonts w:hint="eastAsia" w:hAnsi="宋体" w:cs="宋体"/>
          <w:color w:val="auto"/>
          <w:sz w:val="24"/>
          <w:highlight w:val="none"/>
        </w:rPr>
        <w:t>：202</w:t>
      </w:r>
      <w:r>
        <w:rPr>
          <w:rFonts w:hint="eastAsia" w:hAnsi="宋体" w:cs="宋体"/>
          <w:color w:val="auto"/>
          <w:sz w:val="24"/>
          <w:highlight w:val="none"/>
          <w:lang w:val="en-US" w:eastAsia="zh-CN"/>
        </w:rPr>
        <w:t>5</w:t>
      </w:r>
      <w:r>
        <w:rPr>
          <w:rFonts w:hint="eastAsia" w:hAnsi="宋体" w:cs="宋体"/>
          <w:color w:val="auto"/>
          <w:sz w:val="24"/>
          <w:highlight w:val="none"/>
        </w:rPr>
        <w:t>年</w:t>
      </w:r>
      <w:r>
        <w:rPr>
          <w:rFonts w:hint="eastAsia" w:hAnsi="宋体" w:cs="宋体"/>
          <w:color w:val="auto"/>
          <w:sz w:val="24"/>
          <w:highlight w:val="none"/>
          <w:lang w:val="en-US" w:eastAsia="zh-CN"/>
        </w:rPr>
        <w:t>8</w:t>
      </w:r>
      <w:r>
        <w:rPr>
          <w:rFonts w:hint="eastAsia" w:hAnsi="宋体" w:cs="宋体"/>
          <w:color w:val="auto"/>
          <w:sz w:val="24"/>
          <w:highlight w:val="none"/>
        </w:rPr>
        <w:t>月</w:t>
      </w:r>
      <w:r>
        <w:rPr>
          <w:rFonts w:hint="eastAsia" w:hAnsi="宋体" w:cs="宋体"/>
          <w:color w:val="auto"/>
          <w:sz w:val="24"/>
          <w:highlight w:val="none"/>
          <w:lang w:val="en-US" w:eastAsia="zh-CN"/>
        </w:rPr>
        <w:t>19</w:t>
      </w:r>
      <w:r>
        <w:rPr>
          <w:rFonts w:hint="eastAsia" w:hAnsi="宋体" w:cs="宋体"/>
          <w:color w:val="auto"/>
          <w:sz w:val="24"/>
          <w:highlight w:val="none"/>
        </w:rPr>
        <w:t>日至202</w:t>
      </w:r>
      <w:r>
        <w:rPr>
          <w:rFonts w:hint="eastAsia" w:hAnsi="宋体" w:cs="宋体"/>
          <w:color w:val="auto"/>
          <w:sz w:val="24"/>
          <w:highlight w:val="none"/>
          <w:lang w:val="en-US" w:eastAsia="zh-CN"/>
        </w:rPr>
        <w:t>5</w:t>
      </w:r>
    </w:p>
    <w:p w14:paraId="52F210A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hAnsi="宋体" w:cs="宋体"/>
          <w:color w:val="auto"/>
          <w:sz w:val="24"/>
          <w:highlight w:val="none"/>
        </w:rPr>
      </w:pPr>
      <w:r>
        <w:rPr>
          <w:rFonts w:hint="eastAsia" w:hAnsi="宋体" w:cs="宋体"/>
          <w:color w:val="auto"/>
          <w:sz w:val="24"/>
          <w:highlight w:val="none"/>
        </w:rPr>
        <w:t>年</w:t>
      </w:r>
      <w:r>
        <w:rPr>
          <w:rFonts w:hint="eastAsia" w:hAnsi="宋体" w:cs="宋体"/>
          <w:color w:val="auto"/>
          <w:sz w:val="24"/>
          <w:highlight w:val="none"/>
          <w:lang w:val="en-US" w:eastAsia="zh-CN"/>
        </w:rPr>
        <w:t>8</w:t>
      </w:r>
      <w:r>
        <w:rPr>
          <w:rFonts w:hint="eastAsia" w:hAnsi="宋体" w:cs="宋体"/>
          <w:color w:val="auto"/>
          <w:sz w:val="24"/>
          <w:highlight w:val="none"/>
        </w:rPr>
        <w:t>月</w:t>
      </w:r>
      <w:r>
        <w:rPr>
          <w:rFonts w:hint="eastAsia" w:hAnsi="宋体" w:cs="宋体"/>
          <w:color w:val="auto"/>
          <w:sz w:val="24"/>
          <w:highlight w:val="none"/>
          <w:lang w:val="en-US" w:eastAsia="zh-CN"/>
        </w:rPr>
        <w:t>22</w:t>
      </w:r>
      <w:r>
        <w:rPr>
          <w:rFonts w:hint="eastAsia" w:hAnsi="宋体" w:cs="宋体"/>
          <w:color w:val="auto"/>
          <w:sz w:val="24"/>
          <w:highlight w:val="none"/>
        </w:rPr>
        <w:t>日上午09时00分至12时00分，下午14时30分至17时00分(节假日除外，逾期不予办理)。</w:t>
      </w:r>
    </w:p>
    <w:p w14:paraId="47E2DE51">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（二）获取磋商文件的地点</w:t>
      </w:r>
      <w:r>
        <w:rPr>
          <w:rFonts w:hint="eastAsia" w:hAnsi="宋体" w:cs="宋体"/>
          <w:color w:val="auto"/>
          <w:sz w:val="24"/>
          <w:highlight w:val="none"/>
        </w:rPr>
        <w:t>：</w:t>
      </w:r>
      <w:r>
        <w:rPr>
          <w:rFonts w:hint="eastAsia" w:hAnsi="宋体" w:cs="宋体"/>
          <w:color w:val="auto"/>
          <w:sz w:val="24"/>
          <w:highlight w:val="none"/>
          <w:lang w:eastAsia="zh-CN"/>
        </w:rPr>
        <w:t>资中县中医医院综合楼</w:t>
      </w:r>
      <w:r>
        <w:rPr>
          <w:rFonts w:hint="eastAsia" w:hAnsi="宋体" w:cs="宋体"/>
          <w:color w:val="auto"/>
          <w:sz w:val="24"/>
          <w:highlight w:val="none"/>
          <w:lang w:val="en-US" w:eastAsia="zh-CN"/>
        </w:rPr>
        <w:t>407药械采购中心</w:t>
      </w:r>
      <w:r>
        <w:rPr>
          <w:rFonts w:hint="eastAsia" w:hAnsi="宋体" w:cs="宋体"/>
          <w:color w:val="auto"/>
          <w:sz w:val="24"/>
          <w:highlight w:val="none"/>
        </w:rPr>
        <w:t>。</w:t>
      </w:r>
    </w:p>
    <w:p w14:paraId="4922F62A">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（三）磋商文件售价：</w:t>
      </w:r>
      <w:r>
        <w:rPr>
          <w:rFonts w:hint="eastAsia" w:hAnsi="宋体" w:cs="宋体"/>
          <w:color w:val="auto"/>
          <w:sz w:val="24"/>
          <w:highlight w:val="none"/>
          <w:lang w:eastAsia="zh-CN"/>
        </w:rPr>
        <w:t>免费</w:t>
      </w:r>
      <w:r>
        <w:rPr>
          <w:rFonts w:hint="eastAsia" w:hAnsi="宋体" w:cs="宋体"/>
          <w:color w:val="auto"/>
          <w:sz w:val="24"/>
          <w:highlight w:val="none"/>
        </w:rPr>
        <w:t>(磋商资格不得转让)。</w:t>
      </w:r>
    </w:p>
    <w:p w14:paraId="7629F165">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（四）</w:t>
      </w:r>
      <w:r>
        <w:rPr>
          <w:rFonts w:hint="eastAsia" w:hAnsi="宋体" w:cs="宋体"/>
          <w:color w:val="auto"/>
          <w:sz w:val="24"/>
          <w:highlight w:val="none"/>
        </w:rPr>
        <w:t>供应商应在规定的时间内到指定地点获取本竞争性磋商文件，并登记，如在规定时间内未领取竞争性磋商文件并登记的供应商均无资格参加该项目的磋商。</w:t>
      </w:r>
    </w:p>
    <w:p w14:paraId="03956EBC">
      <w:pPr>
        <w:shd w:val="clear" w:color="auto" w:fill="auto"/>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（五）获取磋商文件的方式：</w:t>
      </w:r>
    </w:p>
    <w:p w14:paraId="1AB28C0F">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1.现场办理：现场</w:t>
      </w:r>
      <w:r>
        <w:rPr>
          <w:rFonts w:hint="eastAsia" w:hAnsi="宋体" w:cs="宋体"/>
          <w:color w:val="auto"/>
          <w:sz w:val="24"/>
          <w:highlight w:val="none"/>
          <w:lang w:eastAsia="zh-CN"/>
        </w:rPr>
        <w:t>领取</w:t>
      </w:r>
      <w:r>
        <w:rPr>
          <w:rFonts w:hint="eastAsia" w:hAnsi="宋体" w:cs="宋体"/>
          <w:color w:val="auto"/>
          <w:sz w:val="24"/>
          <w:highlight w:val="none"/>
        </w:rPr>
        <w:t>磋商文件时应出示针对本项目的单位介绍信原件(须注明项目名称、项目编号、联系人及联系电话、电子邮箱)、加盖供应商单位公章的经办人身份证复印件并出示身份证原件。</w:t>
      </w:r>
    </w:p>
    <w:p w14:paraId="4739E6A3">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2.网上(远程)办理：(1)供应商网上(远程)办理购买磋商文件时，请先自行下载公告附件中的</w:t>
      </w:r>
      <w:r>
        <w:rPr>
          <w:rFonts w:hint="eastAsia" w:hAnsi="宋体" w:cs="宋体"/>
          <w:color w:val="auto"/>
          <w:sz w:val="24"/>
          <w:highlight w:val="none"/>
          <w:lang w:eastAsia="zh-CN"/>
        </w:rPr>
        <w:t>《报名信息登记表》</w:t>
      </w:r>
      <w:r>
        <w:rPr>
          <w:rFonts w:hint="eastAsia" w:hAnsi="宋体" w:cs="宋体"/>
          <w:color w:val="auto"/>
          <w:sz w:val="24"/>
          <w:highlight w:val="none"/>
        </w:rPr>
        <w:t>，并按相关要求填写信息(单位名称、经办人姓名、经办人手机号、单位座机、电子邮箱、包号等)。</w:t>
      </w:r>
    </w:p>
    <w:p w14:paraId="2C9AE9B4">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（2）将已填写的</w:t>
      </w:r>
      <w:r>
        <w:rPr>
          <w:rFonts w:hint="eastAsia" w:hAnsi="宋体" w:cs="宋体"/>
          <w:color w:val="auto"/>
          <w:sz w:val="24"/>
          <w:highlight w:val="none"/>
          <w:lang w:eastAsia="zh-CN"/>
        </w:rPr>
        <w:t>《报名信息登记表》</w:t>
      </w:r>
      <w:r>
        <w:rPr>
          <w:rFonts w:hint="eastAsia" w:hAnsi="宋体" w:cs="宋体"/>
          <w:color w:val="auto"/>
          <w:sz w:val="24"/>
          <w:highlight w:val="none"/>
        </w:rPr>
        <w:t>、《介绍信</w:t>
      </w:r>
      <w:r>
        <w:rPr>
          <w:rFonts w:hint="eastAsia" w:hAnsi="宋体" w:cs="宋体"/>
          <w:color w:val="auto"/>
          <w:sz w:val="24"/>
          <w:highlight w:val="none"/>
          <w:lang w:eastAsia="zh-CN"/>
        </w:rPr>
        <w:t>（格式自拟）</w:t>
      </w:r>
      <w:r>
        <w:rPr>
          <w:rFonts w:hint="eastAsia" w:hAnsi="宋体" w:cs="宋体"/>
          <w:color w:val="auto"/>
          <w:sz w:val="24"/>
          <w:highlight w:val="none"/>
        </w:rPr>
        <w:t>》(附经办人身份证复印件)加盖供应商单位公章后扫描成图片发送至</w:t>
      </w:r>
      <w:r>
        <w:rPr>
          <w:rFonts w:hint="eastAsia" w:hAnsi="宋体" w:cs="宋体"/>
          <w:color w:val="auto"/>
          <w:sz w:val="24"/>
          <w:highlight w:val="none"/>
        </w:rPr>
        <w:fldChar w:fldCharType="begin"/>
      </w:r>
      <w:r>
        <w:rPr>
          <w:rFonts w:hint="eastAsia" w:hAnsi="宋体" w:cs="宋体"/>
          <w:color w:val="auto"/>
          <w:sz w:val="24"/>
          <w:highlight w:val="none"/>
        </w:rPr>
        <w:instrText xml:space="preserve"> HYPERLINK "mailto:scqxzb@163.com" \h </w:instrText>
      </w:r>
      <w:r>
        <w:rPr>
          <w:rFonts w:hint="eastAsia" w:hAnsi="宋体" w:cs="宋体"/>
          <w:color w:val="auto"/>
          <w:sz w:val="24"/>
          <w:highlight w:val="none"/>
        </w:rPr>
        <w:fldChar w:fldCharType="separate"/>
      </w:r>
      <w:r>
        <w:rPr>
          <w:rFonts w:hint="eastAsia" w:hAnsi="宋体" w:cs="宋体"/>
          <w:color w:val="auto"/>
          <w:sz w:val="24"/>
          <w:highlight w:val="none"/>
          <w:lang w:val="en-US" w:eastAsia="zh-CN"/>
        </w:rPr>
        <w:t>88015725</w:t>
      </w:r>
      <w:r>
        <w:rPr>
          <w:rFonts w:hint="eastAsia" w:hAnsi="宋体" w:cs="宋体"/>
          <w:color w:val="auto"/>
          <w:sz w:val="24"/>
          <w:highlight w:val="none"/>
        </w:rPr>
        <w:t>@qq.com</w:t>
      </w:r>
      <w:r>
        <w:rPr>
          <w:rFonts w:hint="eastAsia" w:hAnsi="宋体" w:cs="宋体"/>
          <w:color w:val="auto"/>
          <w:sz w:val="24"/>
          <w:highlight w:val="none"/>
        </w:rPr>
        <w:fldChar w:fldCharType="end"/>
      </w:r>
      <w:r>
        <w:rPr>
          <w:rFonts w:hint="eastAsia" w:hAnsi="宋体" w:cs="宋体"/>
          <w:color w:val="auto"/>
          <w:sz w:val="24"/>
          <w:highlight w:val="none"/>
        </w:rPr>
        <w:t>。</w:t>
      </w:r>
    </w:p>
    <w:p w14:paraId="4696559D">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注：</w:t>
      </w:r>
      <w:r>
        <w:rPr>
          <w:rFonts w:hint="eastAsia" w:hAnsi="宋体" w:cs="宋体"/>
          <w:color w:val="auto"/>
          <w:sz w:val="24"/>
          <w:highlight w:val="none"/>
          <w:lang w:eastAsia="zh-CN"/>
        </w:rPr>
        <w:t>《报名信息登记表》</w:t>
      </w:r>
      <w:r>
        <w:rPr>
          <w:rFonts w:hint="eastAsia" w:hAnsi="宋体" w:cs="宋体"/>
          <w:color w:val="auto"/>
          <w:sz w:val="24"/>
          <w:highlight w:val="none"/>
        </w:rPr>
        <w:t>、《介绍信》(附经办人身份证复印件)加盖单位公章的原件请于开标当日交至</w:t>
      </w:r>
      <w:r>
        <w:rPr>
          <w:rFonts w:hint="eastAsia" w:hAnsi="宋体" w:cs="宋体"/>
          <w:color w:val="auto"/>
          <w:sz w:val="24"/>
          <w:highlight w:val="none"/>
          <w:lang w:eastAsia="zh-CN"/>
        </w:rPr>
        <w:t>资中县中医医院药械采购中心</w:t>
      </w:r>
      <w:r>
        <w:rPr>
          <w:rFonts w:hint="eastAsia" w:hAnsi="宋体" w:cs="宋体"/>
          <w:color w:val="auto"/>
          <w:sz w:val="24"/>
          <w:highlight w:val="none"/>
        </w:rPr>
        <w:t>。</w:t>
      </w:r>
    </w:p>
    <w:p w14:paraId="44A2D79C">
      <w:pPr>
        <w:shd w:val="clear" w:color="auto" w:fill="auto"/>
        <w:spacing w:line="360" w:lineRule="auto"/>
        <w:ind w:firstLine="482" w:firstLineChars="200"/>
        <w:rPr>
          <w:rFonts w:hint="eastAsia" w:hAnsi="宋体" w:cs="宋体"/>
          <w:color w:val="auto"/>
          <w:sz w:val="24"/>
          <w:highlight w:val="none"/>
        </w:rPr>
      </w:pPr>
      <w:r>
        <w:rPr>
          <w:rFonts w:hint="eastAsia" w:hAnsi="宋体" w:cs="宋体"/>
          <w:b/>
          <w:bCs/>
          <w:color w:val="auto"/>
          <w:sz w:val="24"/>
          <w:highlight w:val="none"/>
        </w:rPr>
        <w:t>3.报名咨询电话</w:t>
      </w:r>
      <w:r>
        <w:rPr>
          <w:rFonts w:hint="eastAsia" w:hAnsi="宋体" w:cs="宋体"/>
          <w:color w:val="auto"/>
          <w:sz w:val="24"/>
          <w:highlight w:val="none"/>
        </w:rPr>
        <w:t>：</w:t>
      </w:r>
      <w:r>
        <w:rPr>
          <w:rFonts w:hint="eastAsia" w:hAnsi="宋体" w:cs="宋体"/>
          <w:color w:val="auto"/>
          <w:sz w:val="24"/>
          <w:highlight w:val="none"/>
          <w:lang w:val="en-US" w:eastAsia="zh-CN"/>
        </w:rPr>
        <w:t>0832-8165915</w:t>
      </w:r>
      <w:r>
        <w:rPr>
          <w:rFonts w:hint="eastAsia" w:hAnsi="宋体" w:cs="宋体"/>
          <w:color w:val="auto"/>
          <w:sz w:val="24"/>
          <w:highlight w:val="none"/>
        </w:rPr>
        <w:t>。</w:t>
      </w:r>
    </w:p>
    <w:p w14:paraId="793E07FA">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供应商</w:t>
      </w:r>
      <w:r>
        <w:rPr>
          <w:rFonts w:hint="eastAsia" w:hAnsi="宋体" w:cs="宋体"/>
          <w:color w:val="auto"/>
          <w:sz w:val="24"/>
          <w:highlight w:val="none"/>
          <w:lang w:eastAsia="zh-CN"/>
        </w:rPr>
        <w:t>领取</w:t>
      </w:r>
      <w:r>
        <w:rPr>
          <w:rFonts w:hint="eastAsia" w:hAnsi="宋体" w:cs="宋体"/>
          <w:color w:val="auto"/>
          <w:sz w:val="24"/>
          <w:highlight w:val="none"/>
        </w:rPr>
        <w:t>磋商文件时须如实认真填写项目信息及供应商信息；若因供应商提供的错误信息，对其磋商采购事宜造成影响的，由供应商自行承担所有责任(若供应商需变更报名信息，请于获取磋商文件截止之日前到采购</w:t>
      </w:r>
      <w:bookmarkStart w:id="827" w:name="_GoBack"/>
      <w:r>
        <w:rPr>
          <w:rFonts w:hint="eastAsia" w:hAnsi="宋体" w:cs="宋体"/>
          <w:color w:val="auto"/>
          <w:sz w:val="24"/>
          <w:highlight w:val="none"/>
        </w:rPr>
        <w:t>代理</w:t>
      </w:r>
      <w:bookmarkEnd w:id="827"/>
      <w:r>
        <w:rPr>
          <w:rFonts w:hint="eastAsia" w:hAnsi="宋体" w:cs="宋体"/>
          <w:color w:val="auto"/>
          <w:sz w:val="24"/>
          <w:highlight w:val="none"/>
        </w:rPr>
        <w:t>机构重新登记)。</w:t>
      </w:r>
    </w:p>
    <w:p w14:paraId="24FC5D43">
      <w:pPr>
        <w:shd w:val="clear" w:color="auto" w:fill="auto"/>
        <w:spacing w:after="120" w:line="440" w:lineRule="exact"/>
        <w:ind w:firstLine="482" w:firstLineChars="200"/>
        <w:rPr>
          <w:rFonts w:hint="eastAsia" w:hAnsi="宋体" w:cs="宋体"/>
          <w:color w:val="auto"/>
          <w:sz w:val="24"/>
          <w:highlight w:val="none"/>
        </w:rPr>
      </w:pPr>
      <w:r>
        <w:rPr>
          <w:rFonts w:hint="eastAsia" w:hAnsi="宋体" w:cs="宋体"/>
          <w:b/>
          <w:color w:val="auto"/>
          <w:sz w:val="24"/>
          <w:highlight w:val="none"/>
        </w:rPr>
        <w:t>七、递交响应文件截止时间：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hAnsi="宋体" w:cs="宋体"/>
          <w:color w:val="auto"/>
          <w:sz w:val="24"/>
          <w:highlight w:val="none"/>
        </w:rPr>
        <w:t>（北京时间）。</w:t>
      </w:r>
    </w:p>
    <w:p w14:paraId="27CE8F0C">
      <w:pPr>
        <w:shd w:val="clear" w:color="auto" w:fill="auto"/>
        <w:spacing w:after="120" w:line="440" w:lineRule="exact"/>
        <w:ind w:firstLine="482" w:firstLineChars="200"/>
        <w:rPr>
          <w:rFonts w:hint="eastAsia" w:hAnsi="宋体" w:cs="宋体"/>
          <w:color w:val="auto"/>
          <w:sz w:val="24"/>
          <w:highlight w:val="none"/>
        </w:rPr>
      </w:pPr>
      <w:r>
        <w:rPr>
          <w:rFonts w:hint="eastAsia" w:hAnsi="宋体" w:cs="宋体"/>
          <w:b/>
          <w:color w:val="auto"/>
          <w:sz w:val="24"/>
          <w:highlight w:val="none"/>
        </w:rPr>
        <w:t>八、递交响应文件地点：</w:t>
      </w:r>
      <w:r>
        <w:rPr>
          <w:rFonts w:hint="eastAsia" w:hAnsi="宋体" w:cs="宋体"/>
          <w:color w:val="auto"/>
          <w:sz w:val="24"/>
          <w:highlight w:val="none"/>
        </w:rPr>
        <w:t>响应文件必须在递交响应文件截止时间前送达磋商地点。逾期送达、密封和标注错误的响应文件，</w:t>
      </w:r>
      <w:r>
        <w:rPr>
          <w:rFonts w:hint="eastAsia" w:hAnsi="宋体" w:cs="宋体"/>
          <w:color w:val="auto"/>
          <w:sz w:val="24"/>
          <w:highlight w:val="none"/>
          <w:lang w:eastAsia="zh-CN"/>
        </w:rPr>
        <w:t>资中县中医医院</w:t>
      </w:r>
      <w:r>
        <w:rPr>
          <w:rFonts w:hint="eastAsia" w:hAnsi="宋体" w:cs="宋体"/>
          <w:color w:val="auto"/>
          <w:sz w:val="24"/>
          <w:highlight w:val="none"/>
        </w:rPr>
        <w:t>恕不接收，本次采购不接收邮寄的响应文件。</w:t>
      </w:r>
    </w:p>
    <w:p w14:paraId="0681FF4F">
      <w:pPr>
        <w:keepNext w:val="0"/>
        <w:keepLines w:val="0"/>
        <w:pageBreakBefore w:val="0"/>
        <w:widowControl w:val="0"/>
        <w:kinsoku/>
        <w:wordWrap/>
        <w:overflowPunct/>
        <w:topLinePunct w:val="0"/>
        <w:autoSpaceDE/>
        <w:autoSpaceDN/>
        <w:bidi w:val="0"/>
        <w:adjustRightInd/>
        <w:snapToGrid/>
        <w:spacing w:line="576" w:lineRule="exact"/>
        <w:ind w:firstLine="482"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b/>
          <w:bCs/>
          <w:kern w:val="2"/>
          <w:sz w:val="24"/>
          <w:szCs w:val="24"/>
          <w:lang w:val="en-US" w:eastAsia="zh-CN" w:bidi="ar-SA"/>
        </w:rPr>
        <w:t>九、响应文件开启时间：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15:00（</w:t>
      </w:r>
      <w:r>
        <w:rPr>
          <w:rFonts w:hint="eastAsia" w:ascii="宋体" w:hAnsi="宋体" w:eastAsia="宋体" w:cs="宋体"/>
          <w:color w:val="auto"/>
          <w:sz w:val="24"/>
          <w:highlight w:val="none"/>
        </w:rPr>
        <w:t>北京时间）在资中县中医医院</w:t>
      </w:r>
      <w:r>
        <w:rPr>
          <w:rFonts w:hint="eastAsia" w:ascii="宋体" w:hAnsi="宋体" w:eastAsia="宋体" w:cs="宋体"/>
          <w:color w:val="auto"/>
          <w:sz w:val="24"/>
          <w:highlight w:val="none"/>
          <w:lang w:eastAsia="zh-CN"/>
        </w:rPr>
        <w:t>综合楼</w:t>
      </w:r>
      <w:r>
        <w:rPr>
          <w:rFonts w:hint="eastAsia" w:ascii="宋体" w:hAnsi="宋体" w:eastAsia="宋体" w:cs="宋体"/>
          <w:color w:val="auto"/>
          <w:sz w:val="24"/>
          <w:highlight w:val="none"/>
          <w:lang w:val="en-US" w:eastAsia="zh-CN"/>
        </w:rPr>
        <w:t>406</w:t>
      </w:r>
      <w:r>
        <w:rPr>
          <w:rFonts w:hint="eastAsia" w:ascii="宋体" w:hAnsi="宋体" w:eastAsia="宋体" w:cs="宋体"/>
          <w:color w:val="auto"/>
          <w:sz w:val="24"/>
          <w:highlight w:val="none"/>
          <w:lang w:eastAsia="zh-CN"/>
        </w:rPr>
        <w:t>会议室</w:t>
      </w:r>
      <w:r>
        <w:rPr>
          <w:rFonts w:hint="eastAsia" w:ascii="宋体" w:hAnsi="宋体" w:eastAsia="宋体" w:cs="宋体"/>
          <w:color w:val="auto"/>
          <w:sz w:val="24"/>
          <w:highlight w:val="none"/>
        </w:rPr>
        <w:t>开启。</w:t>
      </w:r>
    </w:p>
    <w:p w14:paraId="40255322">
      <w:pPr>
        <w:shd w:val="clear" w:color="auto" w:fill="auto"/>
        <w:spacing w:after="120" w:line="440" w:lineRule="exact"/>
        <w:ind w:firstLine="489" w:firstLineChars="203"/>
        <w:rPr>
          <w:rFonts w:hint="eastAsia" w:hAnsi="宋体" w:cs="宋体"/>
          <w:color w:val="auto"/>
          <w:sz w:val="24"/>
          <w:highlight w:val="none"/>
        </w:rPr>
      </w:pPr>
      <w:r>
        <w:rPr>
          <w:rFonts w:hint="eastAsia" w:hAnsi="宋体" w:cs="宋体"/>
          <w:b/>
          <w:color w:val="auto"/>
          <w:sz w:val="24"/>
          <w:highlight w:val="none"/>
          <w:lang w:val="en-US" w:eastAsia="zh-CN"/>
        </w:rPr>
        <w:t>十</w:t>
      </w:r>
      <w:r>
        <w:rPr>
          <w:rFonts w:hint="eastAsia" w:hAnsi="宋体" w:cs="宋体"/>
          <w:b/>
          <w:color w:val="auto"/>
          <w:sz w:val="24"/>
          <w:highlight w:val="none"/>
        </w:rPr>
        <w:t>、磋商地点：</w:t>
      </w:r>
      <w:r>
        <w:rPr>
          <w:rFonts w:hint="eastAsia" w:hAnsi="宋体" w:cs="宋体"/>
          <w:color w:val="auto"/>
          <w:sz w:val="24"/>
          <w:highlight w:val="none"/>
          <w:u w:val="single"/>
          <w:lang w:eastAsia="zh-CN"/>
        </w:rPr>
        <w:t>资中县中医医院综合楼</w:t>
      </w:r>
      <w:r>
        <w:rPr>
          <w:rFonts w:hint="eastAsia" w:hAnsi="宋体" w:cs="宋体"/>
          <w:color w:val="auto"/>
          <w:sz w:val="24"/>
          <w:highlight w:val="none"/>
          <w:u w:val="single"/>
          <w:lang w:val="en-US" w:eastAsia="zh-CN"/>
        </w:rPr>
        <w:t>4楼</w:t>
      </w:r>
      <w:r>
        <w:rPr>
          <w:rFonts w:hint="eastAsia" w:hAnsi="宋体" w:cs="宋体"/>
          <w:color w:val="auto"/>
          <w:sz w:val="24"/>
          <w:highlight w:val="none"/>
        </w:rPr>
        <w:t>。</w:t>
      </w:r>
    </w:p>
    <w:p w14:paraId="5BC2123B">
      <w:pPr>
        <w:pStyle w:val="92"/>
        <w:shd w:val="clear" w:color="auto" w:fill="auto"/>
        <w:ind w:firstLine="482"/>
        <w:rPr>
          <w:rFonts w:hint="eastAsia" w:hAnsi="宋体" w:cs="宋体"/>
          <w:b/>
          <w:color w:val="auto"/>
          <w:sz w:val="24"/>
          <w:highlight w:val="none"/>
        </w:rPr>
      </w:pPr>
      <w:r>
        <w:rPr>
          <w:rFonts w:hint="eastAsia" w:hAnsi="宋体" w:cs="宋体"/>
          <w:b/>
          <w:color w:val="auto"/>
          <w:sz w:val="24"/>
          <w:highlight w:val="none"/>
        </w:rPr>
        <w:t>十</w:t>
      </w:r>
      <w:r>
        <w:rPr>
          <w:rFonts w:hint="eastAsia" w:hAnsi="宋体" w:cs="宋体"/>
          <w:b/>
          <w:color w:val="auto"/>
          <w:sz w:val="24"/>
          <w:highlight w:val="none"/>
          <w:lang w:val="en-US" w:eastAsia="zh-CN"/>
        </w:rPr>
        <w:t>一</w:t>
      </w:r>
      <w:r>
        <w:rPr>
          <w:rFonts w:hint="eastAsia" w:hAnsi="宋体" w:cs="宋体"/>
          <w:b/>
          <w:color w:val="auto"/>
          <w:sz w:val="24"/>
          <w:highlight w:val="none"/>
        </w:rPr>
        <w:t>、联系方式</w:t>
      </w:r>
    </w:p>
    <w:p w14:paraId="5EA02AE1">
      <w:pPr>
        <w:spacing w:line="360" w:lineRule="auto"/>
        <w:ind w:firstLine="482" w:firstLineChars="200"/>
        <w:rPr>
          <w:rFonts w:hint="eastAsia" w:ascii="宋体" w:hAnsi="宋体" w:eastAsia="宋体" w:cs="宋体"/>
          <w:b/>
          <w:bCs/>
          <w:kern w:val="0"/>
          <w:sz w:val="24"/>
          <w:szCs w:val="20"/>
          <w:highlight w:val="none"/>
        </w:rPr>
      </w:pPr>
      <w:bookmarkStart w:id="23" w:name="OLE_LINK6"/>
      <w:r>
        <w:rPr>
          <w:rFonts w:hint="eastAsia" w:ascii="宋体" w:hAnsi="宋体" w:eastAsia="宋体" w:cs="宋体"/>
          <w:b/>
          <w:bCs/>
          <w:kern w:val="0"/>
          <w:sz w:val="24"/>
          <w:szCs w:val="20"/>
          <w:highlight w:val="none"/>
        </w:rPr>
        <w:t>采 购 人：</w:t>
      </w:r>
      <w:r>
        <w:rPr>
          <w:rFonts w:hint="eastAsia" w:hAnsi="宋体" w:cs="宋体"/>
          <w:b/>
          <w:bCs/>
          <w:kern w:val="0"/>
          <w:sz w:val="24"/>
          <w:szCs w:val="20"/>
          <w:highlight w:val="none"/>
          <w:lang w:eastAsia="zh-CN"/>
        </w:rPr>
        <w:t>资中县中医医院</w:t>
      </w:r>
      <w:r>
        <w:rPr>
          <w:rFonts w:hint="eastAsia" w:ascii="宋体" w:hAnsi="宋体" w:eastAsia="宋体" w:cs="宋体"/>
          <w:b/>
          <w:bCs/>
          <w:kern w:val="0"/>
          <w:sz w:val="24"/>
          <w:szCs w:val="20"/>
          <w:highlight w:val="none"/>
        </w:rPr>
        <w:t>；</w:t>
      </w:r>
    </w:p>
    <w:p w14:paraId="69E34C0B">
      <w:pPr>
        <w:widowControl w:val="0"/>
        <w:spacing w:line="360" w:lineRule="auto"/>
        <w:ind w:firstLine="480" w:firstLineChars="200"/>
        <w:jc w:val="both"/>
        <w:rPr>
          <w:rFonts w:hint="eastAsia" w:ascii="宋体" w:hAnsi="宋体" w:eastAsia="宋体" w:cs="宋体"/>
          <w:bCs w:val="0"/>
          <w:sz w:val="24"/>
          <w:highlight w:val="none"/>
          <w:lang w:val="en-US" w:eastAsia="zh-CN" w:bidi="ar-SA"/>
        </w:rPr>
      </w:pPr>
      <w:r>
        <w:rPr>
          <w:rFonts w:hint="eastAsia" w:ascii="宋体" w:hAnsi="宋体" w:eastAsia="宋体" w:cs="宋体"/>
          <w:bCs w:val="0"/>
          <w:sz w:val="24"/>
          <w:highlight w:val="none"/>
          <w:lang w:val="en-US" w:eastAsia="zh-CN" w:bidi="ar-SA"/>
        </w:rPr>
        <w:t>通讯地址：</w:t>
      </w:r>
      <w:r>
        <w:rPr>
          <w:rFonts w:hint="eastAsia" w:ascii="宋体" w:hAnsi="宋体" w:cs="宋体"/>
          <w:b w:val="0"/>
          <w:bCs/>
          <w:sz w:val="24"/>
          <w:highlight w:val="none"/>
          <w:lang w:eastAsia="zh-CN"/>
        </w:rPr>
        <w:t>内江市资中县苌弘路北路396号</w:t>
      </w:r>
      <w:r>
        <w:rPr>
          <w:rFonts w:hint="eastAsia" w:ascii="宋体" w:hAnsi="宋体" w:eastAsia="宋体" w:cs="宋体"/>
          <w:b w:val="0"/>
          <w:bCs/>
          <w:sz w:val="24"/>
          <w:highlight w:val="none"/>
        </w:rPr>
        <w:t>；</w:t>
      </w:r>
    </w:p>
    <w:p w14:paraId="61C4F3D2">
      <w:pPr>
        <w:spacing w:line="360" w:lineRule="auto"/>
        <w:ind w:firstLine="480" w:firstLineChars="200"/>
        <w:rPr>
          <w:rFonts w:hint="eastAsia" w:ascii="宋体" w:hAnsi="宋体" w:eastAsia="宋体" w:cs="宋体"/>
          <w:b w:val="0"/>
          <w:bCs/>
          <w:kern w:val="0"/>
          <w:sz w:val="24"/>
          <w:szCs w:val="20"/>
          <w:highlight w:val="none"/>
          <w:lang w:eastAsia="zh-CN"/>
        </w:rPr>
      </w:pPr>
      <w:r>
        <w:rPr>
          <w:rFonts w:hint="eastAsia" w:ascii="宋体" w:hAnsi="宋体" w:eastAsia="宋体" w:cs="宋体"/>
          <w:b w:val="0"/>
          <w:bCs/>
          <w:kern w:val="0"/>
          <w:sz w:val="24"/>
          <w:szCs w:val="20"/>
          <w:highlight w:val="none"/>
          <w:lang w:eastAsia="zh-CN"/>
        </w:rPr>
        <w:t>联 系 人：</w:t>
      </w:r>
      <w:r>
        <w:rPr>
          <w:rFonts w:hint="eastAsia" w:ascii="宋体" w:hAnsi="宋体" w:eastAsia="宋体" w:cs="宋体"/>
          <w:b w:val="0"/>
          <w:bCs/>
          <w:kern w:val="0"/>
          <w:sz w:val="24"/>
          <w:szCs w:val="20"/>
          <w:highlight w:val="none"/>
          <w:lang w:val="en-US" w:eastAsia="zh-CN"/>
        </w:rPr>
        <w:t>王</w:t>
      </w:r>
      <w:r>
        <w:rPr>
          <w:rFonts w:hint="eastAsia" w:ascii="宋体" w:hAnsi="宋体" w:eastAsia="宋体" w:cs="宋体"/>
          <w:b w:val="0"/>
          <w:bCs/>
          <w:kern w:val="0"/>
          <w:sz w:val="24"/>
          <w:szCs w:val="20"/>
          <w:highlight w:val="none"/>
          <w:lang w:eastAsia="zh-CN"/>
        </w:rPr>
        <w:t>老师；</w:t>
      </w:r>
    </w:p>
    <w:p w14:paraId="3826E708">
      <w:pPr>
        <w:pStyle w:val="92"/>
        <w:ind w:firstLine="480"/>
        <w:rPr>
          <w:rFonts w:hint="eastAsia" w:ascii="宋体" w:hAnsi="宋体" w:eastAsia="宋体" w:cs="宋体"/>
          <w:b w:val="0"/>
          <w:bCs/>
          <w:sz w:val="24"/>
          <w:highlight w:val="none"/>
          <w:lang w:val="en-US" w:eastAsia="zh-CN"/>
        </w:rPr>
      </w:pPr>
      <w:r>
        <w:rPr>
          <w:rFonts w:hint="eastAsia" w:ascii="宋体" w:hAnsi="宋体" w:eastAsia="宋体" w:cs="宋体"/>
          <w:b w:val="0"/>
          <w:bCs/>
          <w:kern w:val="0"/>
          <w:sz w:val="24"/>
          <w:szCs w:val="20"/>
          <w:highlight w:val="none"/>
          <w:lang w:eastAsia="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ascii="宋体" w:hAnsi="宋体" w:eastAsia="宋体" w:cs="宋体"/>
          <w:b w:val="0"/>
          <w:bCs/>
          <w:sz w:val="24"/>
          <w:highlight w:val="none"/>
        </w:rPr>
        <w:t>；</w:t>
      </w:r>
    </w:p>
    <w:p w14:paraId="4E067F3C">
      <w:pPr>
        <w:pStyle w:val="25"/>
        <w:spacing w:before="0" w:beforeAutospacing="0" w:after="0" w:afterAutospacing="0" w:line="440" w:lineRule="exact"/>
        <w:jc w:val="right"/>
        <w:rPr>
          <w:rFonts w:hint="eastAsia" w:ascii="宋体" w:hAnsi="宋体" w:eastAsia="宋体" w:cs="宋体"/>
          <w:sz w:val="24"/>
          <w:szCs w:val="24"/>
          <w:highlight w:val="none"/>
        </w:rPr>
      </w:pPr>
    </w:p>
    <w:p w14:paraId="38FA3604">
      <w:pPr>
        <w:pStyle w:val="25"/>
        <w:spacing w:before="0" w:beforeAutospacing="0" w:after="0" w:afterAutospacing="0" w:line="440" w:lineRule="exact"/>
        <w:jc w:val="right"/>
        <w:rPr>
          <w:rFonts w:hint="eastAsia" w:ascii="宋体" w:hAnsi="宋体" w:eastAsia="宋体" w:cs="宋体"/>
          <w:sz w:val="24"/>
          <w:szCs w:val="24"/>
          <w:highlight w:val="none"/>
        </w:rPr>
      </w:pPr>
    </w:p>
    <w:p w14:paraId="51477868">
      <w:pPr>
        <w:pStyle w:val="25"/>
        <w:spacing w:before="0" w:beforeAutospacing="0" w:after="0" w:afterAutospacing="0"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二〇二</w:t>
      </w:r>
      <w:r>
        <w:rPr>
          <w:rFonts w:hint="eastAsia" w:eastAsia="宋体" w:cs="宋体"/>
          <w:sz w:val="24"/>
          <w:szCs w:val="24"/>
          <w:highlight w:val="none"/>
          <w:lang w:val="en-US" w:eastAsia="zh-CN"/>
        </w:rPr>
        <w:t>五</w:t>
      </w:r>
      <w:r>
        <w:rPr>
          <w:rFonts w:hint="eastAsia" w:ascii="宋体" w:hAnsi="宋体" w:eastAsia="宋体" w:cs="宋体"/>
          <w:sz w:val="24"/>
          <w:szCs w:val="24"/>
          <w:highlight w:val="none"/>
        </w:rPr>
        <w:t>年</w:t>
      </w:r>
      <w:r>
        <w:rPr>
          <w:rFonts w:hint="eastAsia" w:cs="宋体"/>
          <w:sz w:val="24"/>
          <w:szCs w:val="24"/>
          <w:highlight w:val="none"/>
          <w:lang w:eastAsia="zh-CN"/>
        </w:rPr>
        <w:t>八</w:t>
      </w:r>
      <w:r>
        <w:rPr>
          <w:rFonts w:hint="eastAsia" w:ascii="宋体" w:hAnsi="宋体" w:eastAsia="宋体" w:cs="宋体"/>
          <w:sz w:val="24"/>
          <w:szCs w:val="24"/>
          <w:highlight w:val="none"/>
        </w:rPr>
        <w:t>月</w:t>
      </w:r>
    </w:p>
    <w:bookmarkEnd w:id="23"/>
    <w:p w14:paraId="08A0B359">
      <w:pPr>
        <w:shd w:val="clear" w:color="auto" w:fill="auto"/>
        <w:rPr>
          <w:rFonts w:hint="eastAsia"/>
          <w:color w:val="auto"/>
          <w:highlight w:val="none"/>
        </w:rPr>
      </w:pPr>
      <w:bookmarkStart w:id="24" w:name="_Toc213397009"/>
      <w:bookmarkStart w:id="25" w:name="_Toc1822"/>
      <w:bookmarkStart w:id="26" w:name="_Toc11487"/>
      <w:bookmarkStart w:id="27" w:name="_Toc213496267"/>
      <w:bookmarkStart w:id="28" w:name="_Toc9629"/>
      <w:bookmarkStart w:id="29" w:name="_Toc2743"/>
      <w:bookmarkStart w:id="30" w:name="_Toc942"/>
      <w:bookmarkStart w:id="31" w:name="_Toc22987"/>
      <w:bookmarkStart w:id="32" w:name="_Toc2136"/>
      <w:bookmarkStart w:id="33" w:name="_Toc21625"/>
      <w:bookmarkStart w:id="34" w:name="_Toc217446031"/>
      <w:bookmarkStart w:id="35" w:name="_Toc213396759"/>
      <w:bookmarkStart w:id="36" w:name="_Toc15141"/>
      <w:bookmarkStart w:id="37" w:name="_Toc21637"/>
      <w:bookmarkStart w:id="38" w:name="_Toc213396945"/>
    </w:p>
    <w:p w14:paraId="202D9AEE">
      <w:pPr>
        <w:shd w:val="clear" w:color="auto" w:fill="auto"/>
        <w:rPr>
          <w:rFonts w:hint="eastAsia"/>
          <w:color w:val="auto"/>
          <w:highlight w:val="none"/>
        </w:rPr>
      </w:pPr>
    </w:p>
    <w:p w14:paraId="2104AF34">
      <w:pPr>
        <w:shd w:val="clear" w:color="auto" w:fill="auto"/>
        <w:rPr>
          <w:rFonts w:hint="eastAsia"/>
          <w:color w:val="auto"/>
          <w:highlight w:val="none"/>
        </w:rPr>
      </w:pPr>
    </w:p>
    <w:p w14:paraId="4CDD09D7">
      <w:pPr>
        <w:shd w:val="clear" w:color="auto" w:fill="auto"/>
        <w:rPr>
          <w:rFonts w:hint="eastAsia"/>
          <w:color w:val="auto"/>
          <w:highlight w:val="none"/>
        </w:rPr>
      </w:pPr>
    </w:p>
    <w:p w14:paraId="3C62F132">
      <w:pPr>
        <w:shd w:val="clear" w:color="auto" w:fill="auto"/>
        <w:rPr>
          <w:rFonts w:hint="eastAsia"/>
          <w:color w:val="auto"/>
          <w:highlight w:val="none"/>
        </w:rPr>
      </w:pPr>
    </w:p>
    <w:p w14:paraId="15F1E00B">
      <w:pPr>
        <w:shd w:val="clear" w:color="auto" w:fill="auto"/>
        <w:rPr>
          <w:rFonts w:hint="eastAsia"/>
          <w:color w:val="auto"/>
          <w:highlight w:val="none"/>
        </w:rPr>
      </w:pPr>
    </w:p>
    <w:p w14:paraId="0818E5B5">
      <w:pPr>
        <w:shd w:val="clear" w:color="auto" w:fill="auto"/>
        <w:rPr>
          <w:rFonts w:hint="eastAsia"/>
          <w:color w:val="auto"/>
          <w:highlight w:val="none"/>
        </w:rPr>
      </w:pPr>
    </w:p>
    <w:p w14:paraId="11ADA363">
      <w:pPr>
        <w:shd w:val="clear" w:color="auto" w:fill="auto"/>
        <w:rPr>
          <w:rFonts w:hint="eastAsia"/>
          <w:color w:val="auto"/>
          <w:highlight w:val="none"/>
        </w:rPr>
      </w:pPr>
    </w:p>
    <w:p w14:paraId="246A563C">
      <w:pPr>
        <w:shd w:val="clear" w:color="auto" w:fill="auto"/>
        <w:rPr>
          <w:rFonts w:hint="eastAsia"/>
          <w:color w:val="auto"/>
          <w:highlight w:val="none"/>
        </w:rPr>
      </w:pPr>
    </w:p>
    <w:p w14:paraId="21E0DCCC">
      <w:pPr>
        <w:shd w:val="clear" w:color="auto" w:fill="auto"/>
        <w:rPr>
          <w:rFonts w:hint="eastAsia" w:eastAsia="宋体"/>
          <w:color w:val="auto"/>
          <w:highlight w:val="none"/>
          <w:lang w:eastAsia="zh-CN"/>
        </w:rPr>
      </w:pPr>
    </w:p>
    <w:p w14:paraId="1791358B">
      <w:pPr>
        <w:pStyle w:val="13"/>
        <w:numPr>
          <w:ilvl w:val="0"/>
          <w:numId w:val="0"/>
        </w:numPr>
        <w:tabs>
          <w:tab w:val="left" w:pos="3022"/>
        </w:tabs>
        <w:rPr>
          <w:rFonts w:hint="eastAsia"/>
          <w:lang w:eastAsia="zh-CN"/>
        </w:rPr>
      </w:pPr>
    </w:p>
    <w:p w14:paraId="77F8418C">
      <w:pPr>
        <w:pStyle w:val="14"/>
        <w:numPr>
          <w:ilvl w:val="0"/>
          <w:numId w:val="0"/>
        </w:numPr>
        <w:ind w:leftChars="100" w:firstLine="0" w:firstLineChars="0"/>
        <w:rPr>
          <w:rFonts w:hint="eastAsia"/>
          <w:lang w:eastAsia="zh-CN"/>
        </w:rPr>
      </w:pPr>
    </w:p>
    <w:p w14:paraId="2A3C37F1">
      <w:pPr>
        <w:pStyle w:val="14"/>
        <w:numPr>
          <w:ilvl w:val="0"/>
          <w:numId w:val="0"/>
        </w:numPr>
        <w:ind w:leftChars="100" w:firstLine="0" w:firstLineChars="0"/>
        <w:rPr>
          <w:rFonts w:hint="eastAsia"/>
          <w:lang w:eastAsia="zh-CN"/>
        </w:rPr>
      </w:pPr>
    </w:p>
    <w:p w14:paraId="319F58A7">
      <w:pPr>
        <w:rPr>
          <w:rFonts w:hint="eastAsia" w:hAnsi="宋体" w:cs="宋体"/>
          <w:b/>
          <w:color w:val="auto"/>
          <w:sz w:val="32"/>
          <w:szCs w:val="32"/>
          <w:highlight w:val="none"/>
        </w:rPr>
      </w:pPr>
      <w:bookmarkStart w:id="39" w:name="_Toc3421"/>
      <w:bookmarkStart w:id="40" w:name="_Toc17199"/>
      <w:bookmarkStart w:id="41" w:name="_Toc11220"/>
      <w:r>
        <w:rPr>
          <w:rFonts w:hint="eastAsia" w:hAnsi="宋体" w:cs="宋体"/>
          <w:b/>
          <w:color w:val="auto"/>
          <w:sz w:val="32"/>
          <w:szCs w:val="32"/>
          <w:highlight w:val="none"/>
        </w:rPr>
        <w:br w:type="page"/>
      </w:r>
    </w:p>
    <w:p w14:paraId="30A4EACC">
      <w:pPr>
        <w:shd w:val="clear" w:color="auto" w:fill="auto"/>
        <w:spacing w:line="360" w:lineRule="auto"/>
        <w:jc w:val="center"/>
        <w:outlineLvl w:val="0"/>
        <w:rPr>
          <w:rFonts w:hint="eastAsia" w:hAnsi="宋体" w:cs="宋体"/>
          <w:b/>
          <w:color w:val="auto"/>
          <w:sz w:val="32"/>
          <w:szCs w:val="32"/>
          <w:highlight w:val="none"/>
        </w:rPr>
      </w:pPr>
      <w:r>
        <w:rPr>
          <w:rFonts w:hint="eastAsia" w:hAnsi="宋体" w:cs="宋体"/>
          <w:b/>
          <w:color w:val="auto"/>
          <w:sz w:val="32"/>
          <w:szCs w:val="32"/>
          <w:highlight w:val="none"/>
        </w:rPr>
        <w:t>第二章  磋商须知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40D62C8">
      <w:pPr>
        <w:pStyle w:val="3"/>
        <w:keepNext w:val="0"/>
        <w:keepLines w:val="0"/>
        <w:shd w:val="clear" w:color="auto" w:fill="auto"/>
        <w:spacing w:before="0" w:after="0" w:line="360" w:lineRule="auto"/>
        <w:jc w:val="center"/>
        <w:rPr>
          <w:rFonts w:hint="eastAsia" w:ascii="宋体" w:hAnsi="宋体" w:eastAsia="宋体" w:cs="宋体"/>
          <w:color w:val="auto"/>
          <w:highlight w:val="none"/>
        </w:rPr>
      </w:pPr>
      <w:bookmarkStart w:id="42" w:name="_Toc14182"/>
      <w:bookmarkStart w:id="43" w:name="_Toc14450"/>
      <w:bookmarkStart w:id="44" w:name="_Toc14500"/>
      <w:bookmarkStart w:id="45" w:name="_Toc17148"/>
      <w:bookmarkStart w:id="46" w:name="_Toc8956"/>
      <w:bookmarkStart w:id="47" w:name="_Toc20147"/>
      <w:bookmarkStart w:id="48" w:name="_Toc9136"/>
      <w:bookmarkStart w:id="49" w:name="_Toc18595"/>
      <w:bookmarkStart w:id="50" w:name="_Toc1150"/>
      <w:bookmarkStart w:id="51" w:name="_Toc6676"/>
      <w:bookmarkStart w:id="52" w:name="_Toc22032"/>
      <w:bookmarkStart w:id="53" w:name="_Toc24328"/>
      <w:bookmarkStart w:id="54" w:name="_Toc8563"/>
      <w:r>
        <w:rPr>
          <w:rFonts w:hint="eastAsia" w:ascii="宋体" w:hAnsi="宋体" w:eastAsia="宋体" w:cs="宋体"/>
          <w:color w:val="auto"/>
          <w:highlight w:val="none"/>
        </w:rPr>
        <w:t>一、供应商须知附表</w:t>
      </w:r>
      <w:bookmarkEnd w:id="42"/>
      <w:bookmarkEnd w:id="43"/>
      <w:bookmarkEnd w:id="44"/>
      <w:bookmarkEnd w:id="45"/>
      <w:bookmarkEnd w:id="46"/>
      <w:bookmarkEnd w:id="47"/>
      <w:bookmarkEnd w:id="48"/>
      <w:bookmarkEnd w:id="49"/>
      <w:bookmarkEnd w:id="50"/>
      <w:bookmarkEnd w:id="51"/>
      <w:bookmarkEnd w:id="52"/>
      <w:bookmarkEnd w:id="53"/>
      <w:bookmarkEnd w:id="54"/>
    </w:p>
    <w:tbl>
      <w:tblPr>
        <w:tblStyle w:val="2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916"/>
        <w:gridCol w:w="6995"/>
      </w:tblGrid>
      <w:tr w14:paraId="4672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629" w:type="dxa"/>
            <w:noWrap w:val="0"/>
            <w:vAlign w:val="center"/>
          </w:tcPr>
          <w:p w14:paraId="0577C013">
            <w:pPr>
              <w:pStyle w:val="83"/>
              <w:keepNext w:val="0"/>
              <w:keepLines w:val="0"/>
              <w:suppressLineNumbers w:val="0"/>
              <w:shd w:val="clear" w:color="auto" w:fill="auto"/>
              <w:spacing w:before="0" w:beforeAutospacing="0" w:after="0" w:afterAutospacing="0" w:line="360" w:lineRule="auto"/>
              <w:ind w:left="9" w:right="0"/>
              <w:jc w:val="center"/>
              <w:rPr>
                <w:rFonts w:hint="eastAsia"/>
                <w:b/>
                <w:bCs/>
                <w:color w:val="auto"/>
                <w:highlight w:val="none"/>
                <w:lang w:val="zh-CN"/>
              </w:rPr>
            </w:pPr>
            <w:r>
              <w:rPr>
                <w:rFonts w:hint="eastAsia"/>
                <w:b/>
                <w:bCs/>
                <w:color w:val="auto"/>
                <w:highlight w:val="none"/>
                <w:lang w:val="zh-CN"/>
              </w:rPr>
              <w:t>序号</w:t>
            </w:r>
          </w:p>
        </w:tc>
        <w:tc>
          <w:tcPr>
            <w:tcW w:w="1916" w:type="dxa"/>
            <w:noWrap w:val="0"/>
            <w:vAlign w:val="center"/>
          </w:tcPr>
          <w:p w14:paraId="23A06A6D">
            <w:pPr>
              <w:pStyle w:val="83"/>
              <w:keepNext w:val="0"/>
              <w:keepLines w:val="0"/>
              <w:suppressLineNumbers w:val="0"/>
              <w:shd w:val="clear" w:color="auto" w:fill="auto"/>
              <w:spacing w:before="0" w:beforeAutospacing="0" w:after="0" w:afterAutospacing="0" w:line="360" w:lineRule="auto"/>
              <w:ind w:left="38" w:right="0"/>
              <w:jc w:val="center"/>
              <w:rPr>
                <w:rFonts w:hint="eastAsia"/>
                <w:b/>
                <w:bCs/>
                <w:color w:val="auto"/>
                <w:highlight w:val="none"/>
                <w:lang w:val="zh-CN"/>
              </w:rPr>
            </w:pPr>
            <w:r>
              <w:rPr>
                <w:rFonts w:hint="eastAsia"/>
                <w:b/>
                <w:bCs/>
                <w:color w:val="auto"/>
                <w:highlight w:val="none"/>
                <w:lang w:val="zh-CN"/>
              </w:rPr>
              <w:t xml:space="preserve">应知事项 </w:t>
            </w:r>
          </w:p>
        </w:tc>
        <w:tc>
          <w:tcPr>
            <w:tcW w:w="6995" w:type="dxa"/>
            <w:noWrap w:val="0"/>
            <w:vAlign w:val="center"/>
          </w:tcPr>
          <w:p w14:paraId="5E6451CB">
            <w:pPr>
              <w:pStyle w:val="83"/>
              <w:keepNext w:val="0"/>
              <w:keepLines w:val="0"/>
              <w:suppressLineNumbers w:val="0"/>
              <w:shd w:val="clear" w:color="auto" w:fill="auto"/>
              <w:spacing w:before="0" w:beforeAutospacing="0" w:after="0" w:afterAutospacing="0" w:line="360" w:lineRule="auto"/>
              <w:ind w:left="0" w:right="0"/>
              <w:jc w:val="center"/>
              <w:rPr>
                <w:rFonts w:hint="eastAsia"/>
                <w:b/>
                <w:bCs/>
                <w:color w:val="auto"/>
                <w:highlight w:val="none"/>
                <w:lang w:val="zh-CN"/>
              </w:rPr>
            </w:pPr>
            <w:r>
              <w:rPr>
                <w:rFonts w:hint="eastAsia"/>
                <w:b/>
                <w:bCs/>
                <w:color w:val="auto"/>
                <w:highlight w:val="none"/>
                <w:lang w:val="zh-CN"/>
              </w:rPr>
              <w:t>说明和要求</w:t>
            </w:r>
          </w:p>
        </w:tc>
      </w:tr>
      <w:tr w14:paraId="5338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6559CBD8">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lang w:val="zh-CN"/>
              </w:rPr>
              <w:t>1</w:t>
            </w:r>
          </w:p>
        </w:tc>
        <w:tc>
          <w:tcPr>
            <w:tcW w:w="1916" w:type="dxa"/>
            <w:noWrap w:val="0"/>
            <w:vAlign w:val="center"/>
          </w:tcPr>
          <w:p w14:paraId="5B2F803F">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确定邀请磋商的供应商数量和方式</w:t>
            </w:r>
          </w:p>
        </w:tc>
        <w:tc>
          <w:tcPr>
            <w:tcW w:w="6995" w:type="dxa"/>
            <w:noWrap w:val="0"/>
            <w:vAlign w:val="center"/>
          </w:tcPr>
          <w:p w14:paraId="61E09927">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本次磋商邀请的供应商数量：不少于</w:t>
            </w:r>
            <w:r>
              <w:rPr>
                <w:rFonts w:hint="eastAsia"/>
                <w:color w:val="auto"/>
                <w:highlight w:val="none"/>
              </w:rPr>
              <w:t>3家。</w:t>
            </w:r>
          </w:p>
          <w:p w14:paraId="3A67E528">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本次采购采取在</w:t>
            </w:r>
            <w:r>
              <w:rPr>
                <w:rFonts w:hint="eastAsia"/>
                <w:bCs/>
                <w:color w:val="auto"/>
                <w:highlight w:val="none"/>
                <w:lang w:eastAsia="zh-CN"/>
              </w:rPr>
              <w:t>资中县中医医院官方网站（http://zzxzyyy.cn/）</w:t>
            </w:r>
            <w:r>
              <w:rPr>
                <w:rFonts w:hint="eastAsia"/>
                <w:color w:val="auto"/>
                <w:highlight w:val="none"/>
                <w:lang w:val="zh-CN"/>
              </w:rPr>
              <w:t>上以公告形式发布的方式邀请供应商参加磋商。</w:t>
            </w:r>
          </w:p>
        </w:tc>
      </w:tr>
      <w:tr w14:paraId="4269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0E55F801">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lang w:val="zh-CN"/>
              </w:rPr>
              <w:t>2</w:t>
            </w:r>
          </w:p>
        </w:tc>
        <w:tc>
          <w:tcPr>
            <w:tcW w:w="1916" w:type="dxa"/>
            <w:noWrap w:val="0"/>
            <w:vAlign w:val="center"/>
          </w:tcPr>
          <w:p w14:paraId="10710FD2">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采购预算</w:t>
            </w:r>
          </w:p>
          <w:p w14:paraId="22A18B35">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b/>
                <w:bCs/>
                <w:color w:val="auto"/>
                <w:highlight w:val="none"/>
                <w:lang w:val="zh-CN"/>
              </w:rPr>
              <w:t>（实质性要求）</w:t>
            </w:r>
          </w:p>
        </w:tc>
        <w:tc>
          <w:tcPr>
            <w:tcW w:w="6995" w:type="dxa"/>
            <w:noWrap w:val="0"/>
            <w:vAlign w:val="center"/>
          </w:tcPr>
          <w:p w14:paraId="7E66B4A3">
            <w:pPr>
              <w:keepNext w:val="0"/>
              <w:keepLines w:val="0"/>
              <w:suppressLineNumbers w:val="0"/>
              <w:spacing w:before="0" w:beforeAutospacing="0" w:after="0" w:afterAutospacing="0"/>
              <w:ind w:left="0" w:right="0"/>
              <w:rPr>
                <w:rFonts w:hint="eastAsia" w:hAnsi="Times New Roman" w:cs="Times New Roman"/>
                <w:color w:val="auto"/>
                <w:szCs w:val="20"/>
                <w:highlight w:val="none"/>
              </w:rPr>
            </w:pPr>
            <w:r>
              <w:rPr>
                <w:rFonts w:hint="eastAsia" w:ascii="宋体" w:hAnsi="宋体" w:eastAsia="宋体" w:cs="宋体"/>
                <w:b/>
                <w:bCs/>
                <w:sz w:val="24"/>
                <w:szCs w:val="20"/>
                <w:highlight w:val="none"/>
                <w:lang w:val="zh-CN" w:eastAsia="zh-CN" w:bidi="ar-SA"/>
              </w:rPr>
              <w:t>采购预算：</w:t>
            </w:r>
            <w:r>
              <w:rPr>
                <w:rFonts w:hint="eastAsia" w:hAnsi="宋体" w:cs="宋体"/>
                <w:b/>
                <w:bCs/>
                <w:sz w:val="24"/>
                <w:szCs w:val="20"/>
                <w:highlight w:val="none"/>
                <w:lang w:val="en-US" w:eastAsia="zh-CN" w:bidi="ar-SA"/>
              </w:rPr>
              <w:t>2.5</w:t>
            </w:r>
            <w:r>
              <w:rPr>
                <w:rFonts w:hint="eastAsia" w:ascii="宋体" w:hAnsi="宋体" w:cs="宋体"/>
                <w:b/>
                <w:bCs/>
                <w:sz w:val="24"/>
                <w:szCs w:val="20"/>
                <w:highlight w:val="none"/>
                <w:lang w:val="zh-CN" w:eastAsia="zh-CN" w:bidi="ar-SA"/>
              </w:rPr>
              <w:t>万元</w:t>
            </w:r>
            <w:r>
              <w:rPr>
                <w:rFonts w:hint="eastAsia" w:ascii="宋体" w:hAnsi="宋体" w:cs="宋体"/>
                <w:b/>
                <w:bCs/>
                <w:sz w:val="24"/>
                <w:szCs w:val="20"/>
                <w:highlight w:val="none"/>
                <w:lang w:val="en-US" w:eastAsia="zh-CN" w:bidi="ar-SA"/>
              </w:rPr>
              <w:t>/年</w:t>
            </w:r>
            <w:r>
              <w:rPr>
                <w:rFonts w:hint="eastAsia" w:ascii="宋体" w:hAnsi="宋体" w:eastAsia="宋体" w:cs="宋体"/>
                <w:b/>
                <w:bCs/>
                <w:sz w:val="24"/>
                <w:szCs w:val="20"/>
                <w:highlight w:val="none"/>
                <w:lang w:val="zh-CN" w:eastAsia="zh-CN" w:bidi="ar-SA"/>
              </w:rPr>
              <w:t>。</w:t>
            </w:r>
            <w:r>
              <w:rPr>
                <w:rFonts w:hint="eastAsia" w:ascii="宋体" w:hAnsi="宋体" w:cs="宋体"/>
                <w:b/>
                <w:bCs/>
                <w:sz w:val="24"/>
                <w:szCs w:val="20"/>
                <w:highlight w:val="none"/>
                <w:lang w:val="zh-CN" w:eastAsia="zh-CN" w:bidi="ar-SA"/>
              </w:rPr>
              <w:t>服务期限为三年，一年一签，</w:t>
            </w:r>
            <w:r>
              <w:rPr>
                <w:rFonts w:hint="eastAsia" w:ascii="宋体" w:hAnsi="宋体" w:eastAsia="宋体" w:cs="宋体"/>
                <w:b/>
                <w:bCs/>
                <w:sz w:val="24"/>
                <w:szCs w:val="20"/>
                <w:highlight w:val="none"/>
                <w:lang w:val="zh-CN" w:eastAsia="zh-CN" w:bidi="ar-SA"/>
              </w:rPr>
              <w:t>据实结算。</w:t>
            </w:r>
          </w:p>
        </w:tc>
      </w:tr>
      <w:tr w14:paraId="7357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49120ED5">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rPr>
            </w:pPr>
            <w:r>
              <w:rPr>
                <w:rFonts w:hint="eastAsia"/>
                <w:color w:val="auto"/>
                <w:highlight w:val="none"/>
              </w:rPr>
              <w:t>3</w:t>
            </w:r>
          </w:p>
        </w:tc>
        <w:tc>
          <w:tcPr>
            <w:tcW w:w="1916" w:type="dxa"/>
            <w:noWrap w:val="0"/>
            <w:vAlign w:val="center"/>
          </w:tcPr>
          <w:p w14:paraId="7A0BE738">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最高限价</w:t>
            </w:r>
          </w:p>
          <w:p w14:paraId="627AA619">
            <w:pPr>
              <w:pStyle w:val="83"/>
              <w:keepNext w:val="0"/>
              <w:keepLines w:val="0"/>
              <w:suppressLineNumbers w:val="0"/>
              <w:shd w:val="clear" w:color="auto" w:fill="auto"/>
              <w:spacing w:before="0" w:beforeAutospacing="0" w:after="0" w:afterAutospacing="0" w:line="360" w:lineRule="auto"/>
              <w:ind w:left="38" w:right="0"/>
              <w:jc w:val="center"/>
              <w:rPr>
                <w:rFonts w:hint="eastAsia"/>
                <w:b/>
                <w:bCs/>
                <w:color w:val="auto"/>
                <w:highlight w:val="none"/>
                <w:lang w:val="zh-CN"/>
              </w:rPr>
            </w:pPr>
            <w:r>
              <w:rPr>
                <w:rFonts w:hint="eastAsia"/>
                <w:b/>
                <w:bCs/>
                <w:color w:val="auto"/>
                <w:highlight w:val="none"/>
                <w:lang w:val="zh-CN"/>
              </w:rPr>
              <w:t>（实质性要求）</w:t>
            </w:r>
          </w:p>
        </w:tc>
        <w:tc>
          <w:tcPr>
            <w:tcW w:w="6995" w:type="dxa"/>
            <w:noWrap w:val="0"/>
            <w:vAlign w:val="center"/>
          </w:tcPr>
          <w:p w14:paraId="43356AAF">
            <w:pPr>
              <w:pStyle w:val="83"/>
              <w:keepNext w:val="0"/>
              <w:keepLines w:val="0"/>
              <w:suppressLineNumbers w:val="0"/>
              <w:shd w:val="clear" w:color="auto" w:fill="auto"/>
              <w:spacing w:before="0" w:beforeAutospacing="0" w:after="0" w:afterAutospacing="0" w:line="360" w:lineRule="auto"/>
              <w:ind w:left="0" w:right="0" w:firstLine="0" w:firstLineChars="0"/>
              <w:jc w:val="both"/>
              <w:rPr>
                <w:rFonts w:hint="eastAsia"/>
                <w:b/>
                <w:bCs/>
                <w:color w:val="auto"/>
                <w:highlight w:val="none"/>
                <w:lang w:val="zh-CN"/>
              </w:rPr>
            </w:pPr>
            <w:r>
              <w:rPr>
                <w:rFonts w:hint="eastAsia"/>
                <w:b/>
                <w:bCs/>
                <w:color w:val="auto"/>
                <w:highlight w:val="none"/>
              </w:rPr>
              <w:t>最高限价</w:t>
            </w:r>
            <w:r>
              <w:rPr>
                <w:rFonts w:hint="eastAsia"/>
                <w:b/>
                <w:bCs/>
                <w:color w:val="auto"/>
                <w:highlight w:val="none"/>
                <w:lang w:val="zh-CN"/>
              </w:rPr>
              <w:t>：</w:t>
            </w:r>
            <w:r>
              <w:rPr>
                <w:rFonts w:hint="eastAsia"/>
                <w:b/>
                <w:bCs/>
                <w:color w:val="auto"/>
                <w:highlight w:val="none"/>
                <w:lang w:val="en-US" w:eastAsia="zh-CN"/>
              </w:rPr>
              <w:t>2.5万</w:t>
            </w:r>
            <w:r>
              <w:rPr>
                <w:rFonts w:hint="eastAsia"/>
                <w:b/>
                <w:bCs/>
                <w:color w:val="auto"/>
                <w:highlight w:val="none"/>
                <w:lang w:val="zh-CN"/>
              </w:rPr>
              <w:t>元/年，服务期限为</w:t>
            </w:r>
            <w:r>
              <w:rPr>
                <w:rFonts w:hint="eastAsia"/>
                <w:b/>
                <w:bCs/>
                <w:color w:val="auto"/>
                <w:highlight w:val="none"/>
                <w:lang w:val="en-US" w:eastAsia="zh-CN"/>
              </w:rPr>
              <w:t>三</w:t>
            </w:r>
            <w:r>
              <w:rPr>
                <w:rFonts w:hint="eastAsia"/>
                <w:b/>
                <w:bCs/>
                <w:color w:val="auto"/>
                <w:highlight w:val="none"/>
                <w:lang w:val="zh-CN"/>
              </w:rPr>
              <w:t>年，按实际使用量结算。</w:t>
            </w:r>
          </w:p>
          <w:p w14:paraId="7E92D8DD">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rPr>
            </w:pPr>
            <w:r>
              <w:rPr>
                <w:rFonts w:hint="eastAsia"/>
                <w:color w:val="auto"/>
                <w:highlight w:val="none"/>
              </w:rPr>
              <w:t>每个产品报价均不能高于该投标产品在“四川省医疗保障信息大数据一体化平台药品和医用耗材招采管理子系统（招采子系统）”的挂网最低价格</w:t>
            </w:r>
            <w:r>
              <w:rPr>
                <w:rFonts w:hint="eastAsia"/>
                <w:color w:val="auto"/>
                <w:highlight w:val="none"/>
                <w:lang w:val="en-US" w:eastAsia="zh-CN"/>
              </w:rPr>
              <w:t>或</w:t>
            </w:r>
            <w:r>
              <w:rPr>
                <w:rFonts w:hint="eastAsia"/>
                <w:color w:val="auto"/>
                <w:highlight w:val="none"/>
              </w:rPr>
              <w:t>本招标文件的最高单价限价</w:t>
            </w:r>
            <w:r>
              <w:rPr>
                <w:rFonts w:hint="eastAsia"/>
                <w:color w:val="auto"/>
                <w:highlight w:val="none"/>
                <w:lang w:eastAsia="zh-CN"/>
              </w:rPr>
              <w:t>，</w:t>
            </w:r>
            <w:r>
              <w:rPr>
                <w:rFonts w:hint="eastAsia"/>
                <w:color w:val="auto"/>
                <w:highlight w:val="none"/>
              </w:rPr>
              <w:t>（本项目报价得分按所有产品单价合计金额进行计算）</w:t>
            </w:r>
            <w:r>
              <w:rPr>
                <w:rFonts w:hint="eastAsia"/>
                <w:color w:val="auto"/>
                <w:highlight w:val="none"/>
                <w:lang w:eastAsia="zh-CN"/>
              </w:rPr>
              <w:t>。</w:t>
            </w:r>
            <w:r>
              <w:rPr>
                <w:rFonts w:hint="eastAsia"/>
                <w:color w:val="auto"/>
                <w:highlight w:val="none"/>
              </w:rPr>
              <w:t>超过视为报价无效。</w:t>
            </w:r>
          </w:p>
        </w:tc>
      </w:tr>
      <w:tr w14:paraId="7DC7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4AD1FD56">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rPr>
              <w:t>4</w:t>
            </w:r>
          </w:p>
        </w:tc>
        <w:tc>
          <w:tcPr>
            <w:tcW w:w="1916" w:type="dxa"/>
            <w:noWrap w:val="0"/>
            <w:vAlign w:val="center"/>
          </w:tcPr>
          <w:p w14:paraId="28C5642D">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lang w:val="zh-CN"/>
              </w:rPr>
            </w:pPr>
            <w:r>
              <w:rPr>
                <w:rFonts w:hint="eastAsia"/>
                <w:color w:val="auto"/>
                <w:highlight w:val="none"/>
                <w:lang w:val="zh-CN"/>
              </w:rPr>
              <w:t>联合体</w:t>
            </w:r>
          </w:p>
        </w:tc>
        <w:tc>
          <w:tcPr>
            <w:tcW w:w="6995" w:type="dxa"/>
            <w:noWrap w:val="0"/>
            <w:vAlign w:val="center"/>
          </w:tcPr>
          <w:p w14:paraId="5A46A8E9">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不允许联合体。</w:t>
            </w:r>
          </w:p>
        </w:tc>
      </w:tr>
      <w:tr w14:paraId="6D5C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4A2A45B1">
            <w:pPr>
              <w:pStyle w:val="83"/>
              <w:keepNext w:val="0"/>
              <w:keepLines w:val="0"/>
              <w:suppressLineNumbers w:val="0"/>
              <w:shd w:val="clear" w:color="auto" w:fill="auto"/>
              <w:spacing w:before="0" w:beforeAutospacing="0" w:after="0" w:afterAutospacing="0" w:line="360" w:lineRule="auto"/>
              <w:ind w:left="0" w:right="230"/>
              <w:jc w:val="center"/>
              <w:rPr>
                <w:rFonts w:hint="eastAsia"/>
                <w:color w:val="auto"/>
                <w:highlight w:val="none"/>
                <w:lang w:val="zh-CN"/>
              </w:rPr>
            </w:pPr>
            <w:r>
              <w:rPr>
                <w:rFonts w:hint="eastAsia"/>
                <w:color w:val="auto"/>
                <w:highlight w:val="none"/>
              </w:rPr>
              <w:t>5</w:t>
            </w:r>
          </w:p>
        </w:tc>
        <w:tc>
          <w:tcPr>
            <w:tcW w:w="1916" w:type="dxa"/>
            <w:noWrap w:val="0"/>
            <w:vAlign w:val="center"/>
          </w:tcPr>
          <w:p w14:paraId="68C2F416">
            <w:pPr>
              <w:pStyle w:val="83"/>
              <w:keepNext w:val="0"/>
              <w:keepLines w:val="0"/>
              <w:suppressLineNumbers w:val="0"/>
              <w:shd w:val="clear" w:color="auto" w:fill="auto"/>
              <w:spacing w:before="0" w:beforeAutospacing="0" w:after="0" w:afterAutospacing="0" w:line="360" w:lineRule="auto"/>
              <w:ind w:left="0" w:right="0"/>
              <w:jc w:val="center"/>
              <w:rPr>
                <w:rFonts w:hint="eastAsia"/>
                <w:color w:val="auto"/>
                <w:highlight w:val="none"/>
              </w:rPr>
            </w:pPr>
            <w:r>
              <w:rPr>
                <w:rFonts w:hint="eastAsia"/>
                <w:color w:val="auto"/>
                <w:highlight w:val="none"/>
              </w:rPr>
              <w:t>低于成本价不正当竞争预防措施</w:t>
            </w:r>
          </w:p>
          <w:p w14:paraId="79C8B77B">
            <w:pPr>
              <w:pStyle w:val="83"/>
              <w:keepNext w:val="0"/>
              <w:keepLines w:val="0"/>
              <w:suppressLineNumbers w:val="0"/>
              <w:shd w:val="clear" w:color="auto" w:fill="auto"/>
              <w:spacing w:before="0" w:beforeAutospacing="0" w:after="0" w:afterAutospacing="0" w:line="360" w:lineRule="auto"/>
              <w:ind w:left="38" w:right="0"/>
              <w:jc w:val="center"/>
              <w:rPr>
                <w:rFonts w:hint="eastAsia"/>
                <w:color w:val="auto"/>
                <w:highlight w:val="none"/>
              </w:rPr>
            </w:pPr>
            <w:r>
              <w:rPr>
                <w:rFonts w:hint="eastAsia"/>
                <w:b/>
                <w:bCs/>
                <w:color w:val="auto"/>
                <w:highlight w:val="none"/>
              </w:rPr>
              <w:t>（实质性要求）</w:t>
            </w:r>
          </w:p>
        </w:tc>
        <w:tc>
          <w:tcPr>
            <w:tcW w:w="6995" w:type="dxa"/>
            <w:noWrap w:val="0"/>
            <w:vAlign w:val="center"/>
          </w:tcPr>
          <w:p w14:paraId="2C776A9E">
            <w:pPr>
              <w:keepNext w:val="0"/>
              <w:keepLines w:val="0"/>
              <w:suppressLineNumbers w:val="0"/>
              <w:shd w:val="clear" w:color="auto" w:fill="auto"/>
              <w:spacing w:before="0" w:beforeAutospacing="0" w:after="0" w:afterAutospacing="0" w:line="360" w:lineRule="auto"/>
              <w:ind w:left="170" w:leftChars="50" w:right="170" w:rightChars="50" w:firstLine="240" w:firstLineChars="100"/>
              <w:rPr>
                <w:rFonts w:hint="eastAsia" w:hAnsi="宋体" w:cs="宋体"/>
                <w:color w:val="auto"/>
                <w:sz w:val="24"/>
                <w:szCs w:val="20"/>
                <w:highlight w:val="none"/>
              </w:rPr>
            </w:pPr>
            <w:r>
              <w:rPr>
                <w:rFonts w:hint="eastAsia" w:hAnsi="宋体" w:cs="宋体"/>
                <w:color w:val="auto"/>
                <w:sz w:val="24"/>
                <w:szCs w:val="20"/>
                <w:highlight w:val="none"/>
              </w:rPr>
              <w:t>1.在评审过程中，供应商报价低于采购预算50%或者低于其他有效供应商报价算术平均价40%，有可能影响产品质量或者不能诚信履约的，磋商小组应当要求其在合理的时间内进行书面说明、提交相关证明材料，并加盖</w:t>
            </w:r>
            <w:r>
              <w:rPr>
                <w:rFonts w:hint="eastAsia" w:hAnsi="宋体" w:cs="宋体"/>
                <w:color w:val="auto"/>
                <w:sz w:val="24"/>
                <w:szCs w:val="20"/>
                <w:highlight w:val="none"/>
                <w:lang w:val="en-US" w:eastAsia="zh-CN"/>
              </w:rPr>
              <w:t>公</w:t>
            </w:r>
            <w:r>
              <w:rPr>
                <w:rFonts w:hint="eastAsia" w:hAnsi="宋体" w:cs="宋体"/>
                <w:color w:val="auto"/>
                <w:sz w:val="24"/>
                <w:szCs w:val="20"/>
                <w:highlight w:val="none"/>
              </w:rPr>
              <w:t>章。供应商拒绝或者变相拒绝提供有效书面说明或者书面说明不能证明其报价合理性的，磋商小组应当将其响应文件作为无效响应处理。 供应商书面说明应当按照国家财务会计制度的规定要求，逐项就供应商提供的货物、工程和服务的主营业务成本(应根据供应商企业类型予以区别)、税金及附加、销售费用、管理费用、财务费用等成本构成事项详细陈述[若响应文件未附财务报告的，则还需提供完整的财务状况报告(含三表一附注)]。</w:t>
            </w:r>
          </w:p>
          <w:p w14:paraId="442F1A60">
            <w:pPr>
              <w:keepNext w:val="0"/>
              <w:keepLines w:val="0"/>
              <w:suppressLineNumbers w:val="0"/>
              <w:shd w:val="clear" w:color="auto" w:fill="auto"/>
              <w:spacing w:before="0" w:beforeAutospacing="0" w:after="0" w:afterAutospacing="0" w:line="360" w:lineRule="auto"/>
              <w:ind w:left="170" w:leftChars="50" w:right="170" w:rightChars="50" w:firstLine="240" w:firstLineChars="100"/>
              <w:rPr>
                <w:rFonts w:hint="eastAsia" w:hAnsi="宋体" w:cs="宋体"/>
                <w:color w:val="auto"/>
                <w:sz w:val="24"/>
                <w:szCs w:val="20"/>
                <w:highlight w:val="none"/>
              </w:rPr>
            </w:pPr>
            <w:r>
              <w:rPr>
                <w:rFonts w:hint="eastAsia" w:hAnsi="宋体" w:cs="宋体"/>
                <w:color w:val="auto"/>
                <w:sz w:val="24"/>
                <w:szCs w:val="20"/>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9F8AFF8">
            <w:pPr>
              <w:keepNext w:val="0"/>
              <w:keepLines w:val="0"/>
              <w:suppressLineNumbers w:val="0"/>
              <w:shd w:val="clear" w:color="auto" w:fill="auto"/>
              <w:spacing w:before="0" w:beforeAutospacing="0" w:after="0" w:afterAutospacing="0" w:line="360" w:lineRule="auto"/>
              <w:ind w:left="170" w:leftChars="50" w:right="170" w:rightChars="50" w:firstLine="240" w:firstLineChars="100"/>
              <w:rPr>
                <w:rFonts w:hint="eastAsia" w:hAnsi="宋体" w:cs="宋体"/>
                <w:color w:val="auto"/>
                <w:sz w:val="24"/>
                <w:szCs w:val="20"/>
                <w:highlight w:val="none"/>
              </w:rPr>
            </w:pPr>
            <w:r>
              <w:rPr>
                <w:rFonts w:hint="eastAsia" w:hAnsi="宋体" w:cs="宋体"/>
                <w:color w:val="auto"/>
                <w:sz w:val="24"/>
                <w:szCs w:val="20"/>
                <w:highlight w:val="none"/>
              </w:rPr>
              <w:t>3.供应商提供书面说明后，评审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审委员会应当将其响应文件作为无效处理。</w:t>
            </w:r>
          </w:p>
        </w:tc>
      </w:tr>
      <w:tr w14:paraId="0A9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3923F49B">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1916" w:type="dxa"/>
            <w:noWrap w:val="0"/>
            <w:vAlign w:val="center"/>
          </w:tcPr>
          <w:p w14:paraId="1EC5A46E">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磋商情况公告</w:t>
            </w:r>
          </w:p>
        </w:tc>
        <w:tc>
          <w:tcPr>
            <w:tcW w:w="6995" w:type="dxa"/>
            <w:noWrap w:val="0"/>
            <w:vAlign w:val="center"/>
          </w:tcPr>
          <w:p w14:paraId="1DB8B808">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供应商资格审查情况、磋商情况、报价情况、磋商结果等在资中县中医医院官方网站上采购结果公告栏中予以公告。</w:t>
            </w:r>
          </w:p>
        </w:tc>
      </w:tr>
      <w:tr w14:paraId="5C0B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615E7253">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7</w:t>
            </w:r>
          </w:p>
        </w:tc>
        <w:tc>
          <w:tcPr>
            <w:tcW w:w="1916" w:type="dxa"/>
            <w:noWrap w:val="0"/>
            <w:vAlign w:val="center"/>
          </w:tcPr>
          <w:p w14:paraId="724FC4EB">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磋商保证金</w:t>
            </w:r>
          </w:p>
        </w:tc>
        <w:tc>
          <w:tcPr>
            <w:tcW w:w="6995" w:type="dxa"/>
            <w:noWrap w:val="0"/>
            <w:vAlign w:val="center"/>
          </w:tcPr>
          <w:p w14:paraId="33154036">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本项目不收取磋商保证金。</w:t>
            </w:r>
          </w:p>
        </w:tc>
      </w:tr>
      <w:tr w14:paraId="142E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29" w:type="dxa"/>
            <w:noWrap w:val="0"/>
            <w:vAlign w:val="center"/>
          </w:tcPr>
          <w:p w14:paraId="681BA347">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1916" w:type="dxa"/>
            <w:noWrap w:val="0"/>
            <w:vAlign w:val="center"/>
          </w:tcPr>
          <w:p w14:paraId="2A9B23F4">
            <w:pPr>
              <w:pStyle w:val="83"/>
              <w:keepNext w:val="0"/>
              <w:keepLines w:val="0"/>
              <w:suppressLineNumbers w:val="0"/>
              <w:shd w:val="clear" w:color="auto" w:fill="auto"/>
              <w:spacing w:before="0" w:beforeAutospacing="0" w:after="0" w:afterAutospacing="0" w:line="276" w:lineRule="auto"/>
              <w:ind w:left="170" w:leftChars="5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履约保证金</w:t>
            </w:r>
          </w:p>
        </w:tc>
        <w:tc>
          <w:tcPr>
            <w:tcW w:w="6995" w:type="dxa"/>
            <w:noWrap w:val="0"/>
            <w:vAlign w:val="center"/>
          </w:tcPr>
          <w:p w14:paraId="6A11D771">
            <w:pPr>
              <w:pStyle w:val="83"/>
              <w:keepNext w:val="0"/>
              <w:keepLines w:val="0"/>
              <w:suppressLineNumbers w:val="0"/>
              <w:shd w:val="clear" w:color="auto" w:fill="auto"/>
              <w:spacing w:before="0" w:beforeAutospacing="0" w:after="0" w:afterAutospacing="0"/>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本项目不收取履约保证金。</w:t>
            </w:r>
          </w:p>
        </w:tc>
      </w:tr>
      <w:tr w14:paraId="4BC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7DF60591">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9</w:t>
            </w:r>
          </w:p>
        </w:tc>
        <w:tc>
          <w:tcPr>
            <w:tcW w:w="1916" w:type="dxa"/>
            <w:noWrap w:val="0"/>
            <w:vAlign w:val="center"/>
          </w:tcPr>
          <w:p w14:paraId="49852FB1">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bCs/>
                <w:color w:val="auto"/>
                <w:highlight w:val="none"/>
              </w:rPr>
              <w:t>磋商</w:t>
            </w:r>
            <w:r>
              <w:rPr>
                <w:rFonts w:hint="eastAsia"/>
                <w:color w:val="auto"/>
                <w:highlight w:val="none"/>
                <w:lang w:val="zh-CN"/>
              </w:rPr>
              <w:t>文件咨询</w:t>
            </w:r>
          </w:p>
        </w:tc>
        <w:tc>
          <w:tcPr>
            <w:tcW w:w="6995" w:type="dxa"/>
            <w:noWrap w:val="0"/>
            <w:vAlign w:val="center"/>
          </w:tcPr>
          <w:p w14:paraId="7E3B7B4F">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联系人：</w:t>
            </w:r>
            <w:r>
              <w:rPr>
                <w:rFonts w:hint="eastAsia"/>
                <w:color w:val="auto"/>
                <w:highlight w:val="none"/>
                <w:lang w:eastAsia="zh-CN"/>
              </w:rPr>
              <w:t>王老师</w:t>
            </w:r>
            <w:r>
              <w:rPr>
                <w:rFonts w:hint="eastAsia"/>
                <w:color w:val="auto"/>
                <w:highlight w:val="none"/>
                <w:lang w:val="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color w:val="auto"/>
                <w:highlight w:val="none"/>
              </w:rPr>
              <w:t>。</w:t>
            </w:r>
            <w:r>
              <w:rPr>
                <w:rFonts w:hint="eastAsia"/>
                <w:color w:val="auto"/>
                <w:highlight w:val="none"/>
                <w:lang w:val="zh-CN"/>
              </w:rPr>
              <w:t xml:space="preserve">      </w:t>
            </w:r>
          </w:p>
        </w:tc>
      </w:tr>
      <w:tr w14:paraId="5E85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629" w:type="dxa"/>
            <w:noWrap w:val="0"/>
            <w:vAlign w:val="center"/>
          </w:tcPr>
          <w:p w14:paraId="29173D1D">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10</w:t>
            </w:r>
          </w:p>
        </w:tc>
        <w:tc>
          <w:tcPr>
            <w:tcW w:w="1916" w:type="dxa"/>
            <w:noWrap w:val="0"/>
            <w:vAlign w:val="center"/>
          </w:tcPr>
          <w:p w14:paraId="3DCEDB2D">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报名、磋商过程、结果工作咨询</w:t>
            </w:r>
          </w:p>
        </w:tc>
        <w:tc>
          <w:tcPr>
            <w:tcW w:w="6995" w:type="dxa"/>
            <w:noWrap w:val="0"/>
            <w:vAlign w:val="center"/>
          </w:tcPr>
          <w:p w14:paraId="625B03CA">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联系人：</w:t>
            </w:r>
            <w:r>
              <w:rPr>
                <w:rFonts w:hint="eastAsia"/>
                <w:color w:val="auto"/>
                <w:highlight w:val="none"/>
                <w:lang w:eastAsia="zh-CN"/>
              </w:rPr>
              <w:t>王老师</w:t>
            </w:r>
            <w:r>
              <w:rPr>
                <w:rFonts w:hint="eastAsia"/>
                <w:color w:val="auto"/>
                <w:highlight w:val="none"/>
                <w:lang w:val="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color w:val="auto"/>
                <w:highlight w:val="none"/>
              </w:rPr>
              <w:t>。</w:t>
            </w:r>
            <w:r>
              <w:rPr>
                <w:rFonts w:hint="eastAsia"/>
                <w:color w:val="auto"/>
                <w:highlight w:val="none"/>
                <w:lang w:val="zh-CN"/>
              </w:rPr>
              <w:t xml:space="preserve">      </w:t>
            </w:r>
          </w:p>
        </w:tc>
      </w:tr>
      <w:tr w14:paraId="2642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9" w:type="dxa"/>
            <w:noWrap w:val="0"/>
            <w:vAlign w:val="center"/>
          </w:tcPr>
          <w:p w14:paraId="1BB915D7">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11</w:t>
            </w:r>
          </w:p>
        </w:tc>
        <w:tc>
          <w:tcPr>
            <w:tcW w:w="1916" w:type="dxa"/>
            <w:noWrap w:val="0"/>
            <w:vAlign w:val="center"/>
          </w:tcPr>
          <w:p w14:paraId="4FA851FC">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成交通知书领取</w:t>
            </w:r>
          </w:p>
        </w:tc>
        <w:tc>
          <w:tcPr>
            <w:tcW w:w="6995" w:type="dxa"/>
            <w:noWrap w:val="0"/>
            <w:vAlign w:val="center"/>
          </w:tcPr>
          <w:p w14:paraId="41E0256A">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color w:val="auto"/>
                <w:highlight w:val="none"/>
                <w:lang w:val="zh-CN"/>
              </w:rPr>
            </w:pPr>
            <w:r>
              <w:rPr>
                <w:rFonts w:hint="eastAsia"/>
                <w:color w:val="auto"/>
                <w:highlight w:val="none"/>
                <w:lang w:val="zh-CN"/>
              </w:rPr>
              <w:t>采购结果公告在</w:t>
            </w:r>
            <w:r>
              <w:rPr>
                <w:rFonts w:hint="eastAsia" w:cs="宋体"/>
                <w:bCs/>
                <w:sz w:val="24"/>
                <w:highlight w:val="none"/>
                <w:lang w:eastAsia="zh-CN"/>
              </w:rPr>
              <w:t>资中县中医医院官方网站</w:t>
            </w:r>
            <w:r>
              <w:rPr>
                <w:rFonts w:hint="eastAsia"/>
                <w:color w:val="auto"/>
                <w:highlight w:val="none"/>
                <w:lang w:val="zh-CN"/>
              </w:rPr>
              <w:t>上发布后，请成交供应商凭有效身份证明证件（单位介绍信，注明办理成交通知书领取事宜，并带领取人身份证原件）到资中县中医医院领取成交通知书。</w:t>
            </w:r>
          </w:p>
          <w:p w14:paraId="3934E94F">
            <w:pPr>
              <w:pStyle w:val="83"/>
              <w:keepNext w:val="0"/>
              <w:keepLines w:val="0"/>
              <w:suppressLineNumbers w:val="0"/>
              <w:shd w:val="clear" w:color="auto" w:fill="auto"/>
              <w:spacing w:before="0" w:beforeAutospacing="0" w:after="0" w:afterAutospacing="0" w:line="360" w:lineRule="auto"/>
              <w:ind w:left="0" w:right="0" w:firstLine="240" w:firstLineChars="100"/>
              <w:jc w:val="both"/>
              <w:rPr>
                <w:rFonts w:hint="eastAsia" w:ascii="宋体" w:hAnsi="宋体" w:cs="宋体"/>
                <w:color w:val="auto"/>
                <w:sz w:val="24"/>
                <w:szCs w:val="24"/>
                <w:highlight w:val="none"/>
                <w:lang w:val="zh-CN" w:eastAsia="zh-CN" w:bidi="ar-SA"/>
              </w:rPr>
            </w:pPr>
            <w:r>
              <w:rPr>
                <w:rFonts w:hint="eastAsia"/>
                <w:color w:val="auto"/>
                <w:highlight w:val="none"/>
                <w:lang w:val="zh-CN"/>
              </w:rPr>
              <w:t>联系人：</w:t>
            </w:r>
            <w:r>
              <w:rPr>
                <w:rFonts w:hint="eastAsia"/>
                <w:color w:val="auto"/>
                <w:highlight w:val="none"/>
                <w:lang w:eastAsia="zh-CN"/>
              </w:rPr>
              <w:t>王老师</w:t>
            </w:r>
            <w:r>
              <w:rPr>
                <w:rFonts w:hint="eastAsia"/>
                <w:color w:val="auto"/>
                <w:highlight w:val="none"/>
                <w:lang w:val="zh-CN"/>
              </w:rPr>
              <w:t>，联系电话：</w:t>
            </w:r>
            <w:r>
              <w:rPr>
                <w:rFonts w:hint="eastAsia" w:ascii="宋体" w:hAnsi="宋体" w:eastAsia="宋体" w:cs="宋体"/>
                <w:i w:val="0"/>
                <w:iCs w:val="0"/>
                <w:caps w:val="0"/>
                <w:color w:val="222222"/>
                <w:spacing w:val="0"/>
                <w:sz w:val="24"/>
                <w:szCs w:val="24"/>
                <w:highlight w:val="none"/>
              </w:rPr>
              <w:t>0832-</w:t>
            </w:r>
            <w:r>
              <w:rPr>
                <w:rFonts w:hint="eastAsia" w:hAnsi="宋体" w:cs="宋体"/>
                <w:color w:val="auto"/>
                <w:sz w:val="24"/>
                <w:highlight w:val="none"/>
                <w:lang w:val="en-US" w:eastAsia="zh-CN"/>
              </w:rPr>
              <w:t>8165915</w:t>
            </w:r>
            <w:r>
              <w:rPr>
                <w:rFonts w:hint="eastAsia"/>
                <w:color w:val="auto"/>
                <w:highlight w:val="none"/>
              </w:rPr>
              <w:t>。</w:t>
            </w:r>
          </w:p>
        </w:tc>
      </w:tr>
      <w:tr w14:paraId="751D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5559A3ED">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1916" w:type="dxa"/>
            <w:noWrap w:val="0"/>
            <w:vAlign w:val="center"/>
          </w:tcPr>
          <w:p w14:paraId="6F2D01DE">
            <w:pPr>
              <w:pStyle w:val="83"/>
              <w:keepNext w:val="0"/>
              <w:keepLines w:val="0"/>
              <w:suppressLineNumbers w:val="0"/>
              <w:shd w:val="clear" w:color="auto" w:fill="auto"/>
              <w:spacing w:before="0" w:beforeAutospacing="0" w:after="0" w:afterAutospacing="0" w:line="360" w:lineRule="auto"/>
              <w:ind w:left="38" w:leftChars="0" w:right="0"/>
              <w:jc w:val="center"/>
              <w:rPr>
                <w:rFonts w:hint="eastAsia" w:ascii="宋体" w:hAnsi="宋体" w:cs="宋体"/>
                <w:color w:val="auto"/>
                <w:sz w:val="24"/>
                <w:szCs w:val="24"/>
                <w:highlight w:val="none"/>
                <w:lang w:val="zh-CN" w:eastAsia="zh-CN" w:bidi="ar-SA"/>
              </w:rPr>
            </w:pPr>
            <w:r>
              <w:rPr>
                <w:rFonts w:hint="eastAsia"/>
                <w:color w:val="auto"/>
                <w:highlight w:val="none"/>
                <w:lang w:val="zh-CN"/>
              </w:rPr>
              <w:t>供应商询问</w:t>
            </w:r>
          </w:p>
        </w:tc>
        <w:tc>
          <w:tcPr>
            <w:tcW w:w="6995" w:type="dxa"/>
            <w:noWrap w:val="0"/>
            <w:vAlign w:val="center"/>
          </w:tcPr>
          <w:p w14:paraId="26CCC0B6">
            <w:pPr>
              <w:pStyle w:val="83"/>
              <w:keepNext w:val="0"/>
              <w:keepLines w:val="0"/>
              <w:suppressLineNumbers w:val="0"/>
              <w:shd w:val="clear" w:color="auto" w:fill="auto"/>
              <w:spacing w:before="0" w:beforeAutospacing="0" w:after="0" w:afterAutospacing="0" w:line="360" w:lineRule="auto"/>
              <w:ind w:left="0" w:right="0"/>
              <w:jc w:val="both"/>
              <w:rPr>
                <w:rFonts w:hint="eastAsia" w:ascii="宋体" w:hAnsi="宋体" w:cs="宋体"/>
                <w:color w:val="auto"/>
                <w:sz w:val="24"/>
                <w:szCs w:val="24"/>
                <w:highlight w:val="none"/>
                <w:lang w:val="zh-CN" w:eastAsia="zh-CN" w:bidi="ar-SA"/>
              </w:rPr>
            </w:pPr>
            <w:r>
              <w:rPr>
                <w:rFonts w:hint="eastAsia"/>
                <w:color w:val="auto"/>
                <w:highlight w:val="none"/>
                <w:lang w:val="zh-CN"/>
              </w:rPr>
              <w:t xml:space="preserve"> 供应商询问由资中县中医医院负责答复。</w:t>
            </w:r>
          </w:p>
        </w:tc>
      </w:tr>
      <w:tr w14:paraId="4D18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9" w:type="dxa"/>
            <w:noWrap w:val="0"/>
            <w:vAlign w:val="center"/>
          </w:tcPr>
          <w:p w14:paraId="0F9D77DB">
            <w:pPr>
              <w:pStyle w:val="83"/>
              <w:keepNext w:val="0"/>
              <w:keepLines w:val="0"/>
              <w:suppressLineNumbers w:val="0"/>
              <w:shd w:val="clear" w:color="auto" w:fill="auto"/>
              <w:spacing w:before="0" w:beforeAutospacing="0" w:after="0" w:afterAutospacing="0" w:line="360" w:lineRule="auto"/>
              <w:ind w:left="0"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1916" w:type="dxa"/>
            <w:noWrap w:val="0"/>
            <w:vAlign w:val="top"/>
          </w:tcPr>
          <w:p w14:paraId="6296C552">
            <w:pPr>
              <w:pStyle w:val="77"/>
              <w:keepNext w:val="0"/>
              <w:keepLines w:val="0"/>
              <w:suppressLineNumbers w:val="0"/>
              <w:shd w:val="clear" w:color="auto" w:fill="auto"/>
              <w:spacing w:before="0" w:beforeAutospacing="0" w:after="0" w:afterAutospacing="0" w:line="360" w:lineRule="auto"/>
              <w:ind w:left="0" w:right="0"/>
              <w:rPr>
                <w:rFonts w:hint="eastAsia"/>
                <w:color w:val="auto"/>
                <w:sz w:val="24"/>
                <w:szCs w:val="20"/>
                <w:highlight w:val="none"/>
              </w:rPr>
            </w:pPr>
          </w:p>
          <w:p w14:paraId="68EC38D2">
            <w:pPr>
              <w:pStyle w:val="77"/>
              <w:keepNext w:val="0"/>
              <w:keepLines w:val="0"/>
              <w:suppressLineNumbers w:val="0"/>
              <w:shd w:val="clear" w:color="auto" w:fill="auto"/>
              <w:spacing w:before="0" w:beforeAutospacing="0" w:after="0" w:afterAutospacing="0" w:line="360" w:lineRule="auto"/>
              <w:ind w:left="0" w:right="0"/>
              <w:rPr>
                <w:rFonts w:hint="eastAsia"/>
                <w:color w:val="auto"/>
                <w:sz w:val="24"/>
                <w:szCs w:val="20"/>
                <w:highlight w:val="none"/>
              </w:rPr>
            </w:pPr>
          </w:p>
          <w:p w14:paraId="10DB9102">
            <w:pPr>
              <w:pStyle w:val="77"/>
              <w:keepNext w:val="0"/>
              <w:keepLines w:val="0"/>
              <w:suppressLineNumbers w:val="0"/>
              <w:shd w:val="clear" w:color="auto" w:fill="auto"/>
              <w:spacing w:before="179" w:beforeAutospacing="0" w:after="0" w:afterAutospacing="0" w:line="360" w:lineRule="auto"/>
              <w:ind w:left="222" w:leftChars="0" w:right="0"/>
              <w:rPr>
                <w:rFonts w:hint="eastAsia" w:ascii="宋体" w:hAnsi="宋体" w:cs="宋体"/>
                <w:color w:val="auto"/>
                <w:sz w:val="24"/>
                <w:szCs w:val="20"/>
                <w:highlight w:val="none"/>
                <w:lang w:val="zh-CN" w:eastAsia="zh-CN" w:bidi="ar-SA"/>
              </w:rPr>
            </w:pPr>
            <w:r>
              <w:rPr>
                <w:rFonts w:hint="eastAsia"/>
                <w:color w:val="auto"/>
                <w:sz w:val="24"/>
                <w:szCs w:val="20"/>
                <w:highlight w:val="none"/>
              </w:rPr>
              <w:t>响应文件份数</w:t>
            </w:r>
          </w:p>
        </w:tc>
        <w:tc>
          <w:tcPr>
            <w:tcW w:w="6995" w:type="dxa"/>
            <w:noWrap w:val="0"/>
            <w:vAlign w:val="top"/>
          </w:tcPr>
          <w:p w14:paraId="28D0328D">
            <w:pPr>
              <w:pStyle w:val="77"/>
              <w:keepNext w:val="0"/>
              <w:keepLines w:val="0"/>
              <w:suppressLineNumbers w:val="0"/>
              <w:shd w:val="clear" w:color="auto" w:fill="auto"/>
              <w:spacing w:before="5" w:beforeAutospacing="0" w:after="0" w:afterAutospacing="0" w:line="360" w:lineRule="auto"/>
              <w:ind w:left="0" w:right="0" w:firstLine="240" w:firstLineChars="100"/>
              <w:rPr>
                <w:rFonts w:hint="eastAsia"/>
                <w:color w:val="auto"/>
                <w:sz w:val="24"/>
                <w:szCs w:val="20"/>
                <w:highlight w:val="none"/>
              </w:rPr>
            </w:pPr>
            <w:r>
              <w:rPr>
                <w:rFonts w:hint="eastAsia"/>
                <w:color w:val="auto"/>
                <w:sz w:val="24"/>
                <w:szCs w:val="20"/>
                <w:highlight w:val="none"/>
              </w:rPr>
              <w:t>资格性响应文件(纸质）一式</w:t>
            </w:r>
            <w:r>
              <w:rPr>
                <w:rFonts w:hint="eastAsia"/>
                <w:color w:val="auto"/>
                <w:spacing w:val="-63"/>
                <w:sz w:val="24"/>
                <w:szCs w:val="20"/>
                <w:highlight w:val="none"/>
              </w:rPr>
              <w:t xml:space="preserve"> </w:t>
            </w:r>
            <w:r>
              <w:rPr>
                <w:rFonts w:hint="eastAsia"/>
                <w:color w:val="auto"/>
                <w:sz w:val="24"/>
                <w:szCs w:val="20"/>
                <w:highlight w:val="none"/>
              </w:rPr>
              <w:t>3</w:t>
            </w:r>
            <w:r>
              <w:rPr>
                <w:rFonts w:hint="eastAsia"/>
                <w:color w:val="auto"/>
                <w:spacing w:val="-63"/>
                <w:sz w:val="24"/>
                <w:szCs w:val="20"/>
                <w:highlight w:val="none"/>
              </w:rPr>
              <w:t xml:space="preserve"> </w:t>
            </w:r>
            <w:r>
              <w:rPr>
                <w:rFonts w:hint="eastAsia"/>
                <w:color w:val="auto"/>
                <w:spacing w:val="-5"/>
                <w:sz w:val="24"/>
                <w:szCs w:val="20"/>
                <w:highlight w:val="none"/>
              </w:rPr>
              <w:t>份（其中正本</w:t>
            </w:r>
            <w:r>
              <w:rPr>
                <w:rFonts w:hint="eastAsia"/>
                <w:color w:val="auto"/>
                <w:spacing w:val="-63"/>
                <w:sz w:val="24"/>
                <w:szCs w:val="20"/>
                <w:highlight w:val="none"/>
              </w:rPr>
              <w:t xml:space="preserve"> </w:t>
            </w:r>
            <w:r>
              <w:rPr>
                <w:rFonts w:hint="eastAsia"/>
                <w:color w:val="auto"/>
                <w:sz w:val="24"/>
                <w:szCs w:val="20"/>
                <w:highlight w:val="none"/>
              </w:rPr>
              <w:t>1</w:t>
            </w:r>
            <w:r>
              <w:rPr>
                <w:rFonts w:hint="eastAsia"/>
                <w:color w:val="auto"/>
                <w:spacing w:val="-63"/>
                <w:sz w:val="24"/>
                <w:szCs w:val="20"/>
                <w:highlight w:val="none"/>
              </w:rPr>
              <w:t xml:space="preserve"> </w:t>
            </w:r>
            <w:r>
              <w:rPr>
                <w:rFonts w:hint="eastAsia"/>
                <w:color w:val="auto"/>
                <w:spacing w:val="-6"/>
                <w:sz w:val="24"/>
                <w:szCs w:val="20"/>
                <w:highlight w:val="none"/>
              </w:rPr>
              <w:t>份、副本</w:t>
            </w:r>
            <w:r>
              <w:rPr>
                <w:rFonts w:hint="eastAsia"/>
                <w:color w:val="auto"/>
                <w:spacing w:val="-63"/>
                <w:sz w:val="24"/>
                <w:szCs w:val="20"/>
                <w:highlight w:val="none"/>
              </w:rPr>
              <w:t xml:space="preserve"> </w:t>
            </w:r>
            <w:r>
              <w:rPr>
                <w:rFonts w:hint="eastAsia"/>
                <w:color w:val="auto"/>
                <w:sz w:val="24"/>
                <w:szCs w:val="20"/>
                <w:highlight w:val="none"/>
              </w:rPr>
              <w:t>2</w:t>
            </w:r>
            <w:r>
              <w:rPr>
                <w:rFonts w:hint="eastAsia"/>
                <w:color w:val="auto"/>
                <w:spacing w:val="-63"/>
                <w:sz w:val="24"/>
                <w:szCs w:val="20"/>
                <w:highlight w:val="none"/>
              </w:rPr>
              <w:t xml:space="preserve"> </w:t>
            </w:r>
            <w:r>
              <w:rPr>
                <w:rFonts w:hint="eastAsia"/>
                <w:color w:val="auto"/>
                <w:spacing w:val="-12"/>
                <w:sz w:val="24"/>
                <w:szCs w:val="20"/>
                <w:highlight w:val="none"/>
              </w:rPr>
              <w:t>份）；其</w:t>
            </w:r>
          </w:p>
          <w:p w14:paraId="10C13B67">
            <w:pPr>
              <w:pStyle w:val="77"/>
              <w:keepNext w:val="0"/>
              <w:keepLines w:val="0"/>
              <w:suppressLineNumbers w:val="0"/>
              <w:shd w:val="clear" w:color="auto" w:fill="auto"/>
              <w:spacing w:before="29" w:beforeAutospacing="0" w:after="0" w:afterAutospacing="0" w:line="360" w:lineRule="auto"/>
              <w:ind w:left="0" w:right="0"/>
              <w:rPr>
                <w:rFonts w:hint="eastAsia"/>
                <w:color w:val="auto"/>
                <w:sz w:val="24"/>
                <w:szCs w:val="20"/>
                <w:highlight w:val="none"/>
              </w:rPr>
            </w:pPr>
            <w:r>
              <w:rPr>
                <w:rFonts w:hint="eastAsia"/>
                <w:color w:val="auto"/>
                <w:spacing w:val="-3"/>
                <w:sz w:val="24"/>
                <w:szCs w:val="20"/>
                <w:highlight w:val="none"/>
              </w:rPr>
              <w:t>他响应文件(纸质）一式3</w:t>
            </w:r>
            <w:r>
              <w:rPr>
                <w:rFonts w:hint="eastAsia"/>
                <w:color w:val="auto"/>
                <w:spacing w:val="-5"/>
                <w:sz w:val="24"/>
                <w:szCs w:val="20"/>
                <w:highlight w:val="none"/>
              </w:rPr>
              <w:t xml:space="preserve">份（其中正本 </w:t>
            </w:r>
            <w:r>
              <w:rPr>
                <w:rFonts w:hint="eastAsia"/>
                <w:color w:val="auto"/>
                <w:sz w:val="24"/>
                <w:szCs w:val="20"/>
                <w:highlight w:val="none"/>
              </w:rPr>
              <w:t xml:space="preserve">1 </w:t>
            </w:r>
            <w:r>
              <w:rPr>
                <w:rFonts w:hint="eastAsia"/>
                <w:color w:val="auto"/>
                <w:spacing w:val="-6"/>
                <w:sz w:val="24"/>
                <w:szCs w:val="20"/>
                <w:highlight w:val="none"/>
              </w:rPr>
              <w:t xml:space="preserve">份、副本 </w:t>
            </w:r>
            <w:r>
              <w:rPr>
                <w:rFonts w:hint="eastAsia"/>
                <w:color w:val="auto"/>
                <w:sz w:val="24"/>
                <w:szCs w:val="20"/>
                <w:highlight w:val="none"/>
              </w:rPr>
              <w:t xml:space="preserve">2 </w:t>
            </w:r>
            <w:r>
              <w:rPr>
                <w:rFonts w:hint="eastAsia"/>
                <w:color w:val="auto"/>
                <w:spacing w:val="-4"/>
                <w:sz w:val="24"/>
                <w:szCs w:val="20"/>
                <w:highlight w:val="none"/>
              </w:rPr>
              <w:t>份）；</w:t>
            </w:r>
            <w:r>
              <w:rPr>
                <w:rFonts w:hint="eastAsia"/>
                <w:color w:val="auto"/>
                <w:sz w:val="24"/>
                <w:szCs w:val="20"/>
                <w:highlight w:val="none"/>
              </w:rPr>
              <w:t>现场报价表（纸质）2</w:t>
            </w:r>
            <w:r>
              <w:rPr>
                <w:rFonts w:hint="eastAsia"/>
                <w:color w:val="auto"/>
                <w:spacing w:val="-58"/>
                <w:sz w:val="24"/>
                <w:szCs w:val="20"/>
                <w:highlight w:val="none"/>
              </w:rPr>
              <w:t xml:space="preserve"> </w:t>
            </w:r>
            <w:r>
              <w:rPr>
                <w:rFonts w:hint="eastAsia"/>
                <w:color w:val="auto"/>
                <w:sz w:val="24"/>
                <w:szCs w:val="20"/>
                <w:highlight w:val="none"/>
              </w:rPr>
              <w:t>份以上。</w:t>
            </w:r>
          </w:p>
          <w:p w14:paraId="44AAA48D">
            <w:pPr>
              <w:pStyle w:val="77"/>
              <w:keepNext w:val="0"/>
              <w:keepLines w:val="0"/>
              <w:suppressLineNumbers w:val="0"/>
              <w:shd w:val="clear" w:color="auto" w:fill="auto"/>
              <w:spacing w:before="45" w:beforeAutospacing="0" w:after="0" w:afterAutospacing="0" w:line="360" w:lineRule="auto"/>
              <w:ind w:left="0" w:right="0"/>
              <w:rPr>
                <w:rFonts w:hint="eastAsia" w:ascii="宋体" w:hAnsi="宋体" w:cs="宋体"/>
                <w:color w:val="auto"/>
                <w:sz w:val="24"/>
                <w:szCs w:val="20"/>
                <w:highlight w:val="none"/>
                <w:lang w:val="zh-CN" w:eastAsia="zh-CN" w:bidi="ar-SA"/>
              </w:rPr>
            </w:pPr>
            <w:r>
              <w:rPr>
                <w:rFonts w:hint="eastAsia"/>
                <w:color w:val="auto"/>
                <w:sz w:val="24"/>
                <w:szCs w:val="20"/>
                <w:highlight w:val="none"/>
              </w:rPr>
              <w:t>注：响应文件须在递交响应文件截止时间之前提交（现场报价表除外）；现场报价表用于评审现场填写后密封提交，供应商须自备密封袋。</w:t>
            </w:r>
          </w:p>
        </w:tc>
      </w:tr>
    </w:tbl>
    <w:p w14:paraId="74E362E5">
      <w:pPr>
        <w:pStyle w:val="21"/>
        <w:shd w:val="clear" w:color="auto" w:fill="auto"/>
        <w:jc w:val="both"/>
        <w:outlineLvl w:val="9"/>
        <w:rPr>
          <w:rFonts w:hint="eastAsia" w:ascii="宋体" w:hAnsi="宋体" w:cs="宋体"/>
          <w:color w:val="auto"/>
          <w:highlight w:val="none"/>
        </w:rPr>
      </w:pPr>
    </w:p>
    <w:p w14:paraId="677C42CD">
      <w:pPr>
        <w:shd w:val="clear" w:color="auto" w:fill="auto"/>
        <w:outlineLvl w:val="9"/>
        <w:rPr>
          <w:rFonts w:hint="eastAsia" w:ascii="宋体" w:hAnsi="宋体" w:eastAsia="宋体" w:cs="宋体"/>
          <w:bCs/>
          <w:color w:val="auto"/>
          <w:highlight w:val="none"/>
        </w:rPr>
      </w:pPr>
      <w:bookmarkStart w:id="55" w:name="_Toc8608"/>
    </w:p>
    <w:p w14:paraId="3890DEE4">
      <w:pPr>
        <w:rPr>
          <w:rFonts w:hint="eastAsia" w:ascii="宋体" w:hAnsi="宋体" w:eastAsia="宋体" w:cs="宋体"/>
          <w:bCs w:val="0"/>
          <w:color w:val="auto"/>
          <w:highlight w:val="none"/>
        </w:rPr>
      </w:pPr>
      <w:bookmarkStart w:id="56" w:name="_Toc15511"/>
      <w:bookmarkStart w:id="57" w:name="_Toc28880"/>
      <w:bookmarkStart w:id="58" w:name="_Toc14235"/>
      <w:bookmarkStart w:id="59" w:name="_Toc4824"/>
      <w:bookmarkStart w:id="60" w:name="_Toc6735"/>
      <w:bookmarkStart w:id="61" w:name="_Toc18917"/>
      <w:bookmarkStart w:id="62" w:name="_Toc19536"/>
      <w:bookmarkStart w:id="63" w:name="_Toc29004"/>
      <w:bookmarkStart w:id="64" w:name="_Toc6419"/>
      <w:bookmarkStart w:id="65" w:name="_Toc31950"/>
      <w:bookmarkStart w:id="66" w:name="_Toc17451"/>
      <w:bookmarkStart w:id="67" w:name="_Toc1949"/>
      <w:r>
        <w:rPr>
          <w:rFonts w:hint="eastAsia" w:ascii="宋体" w:hAnsi="宋体" w:eastAsia="宋体" w:cs="宋体"/>
          <w:bCs w:val="0"/>
          <w:color w:val="auto"/>
          <w:highlight w:val="none"/>
        </w:rPr>
        <w:br w:type="page"/>
      </w:r>
    </w:p>
    <w:p w14:paraId="1DF0350D">
      <w:pPr>
        <w:pStyle w:val="3"/>
        <w:keepNext w:val="0"/>
        <w:keepLines w:val="0"/>
        <w:shd w:val="clear" w:color="auto" w:fill="auto"/>
        <w:spacing w:before="0" w:after="0" w:line="400" w:lineRule="exact"/>
        <w:jc w:val="center"/>
        <w:rPr>
          <w:rFonts w:hint="eastAsia" w:ascii="宋体" w:hAnsi="宋体" w:eastAsia="宋体" w:cs="宋体"/>
          <w:bCs w:val="0"/>
          <w:color w:val="auto"/>
          <w:highlight w:val="none"/>
        </w:rPr>
      </w:pPr>
      <w:r>
        <w:rPr>
          <w:rFonts w:hint="eastAsia" w:ascii="宋体" w:hAnsi="宋体" w:eastAsia="宋体" w:cs="宋体"/>
          <w:bCs w:val="0"/>
          <w:color w:val="auto"/>
          <w:highlight w:val="none"/>
        </w:rPr>
        <w:t>二、总  则</w:t>
      </w:r>
      <w:bookmarkEnd w:id="55"/>
      <w:bookmarkEnd w:id="56"/>
      <w:bookmarkEnd w:id="57"/>
      <w:bookmarkEnd w:id="58"/>
      <w:bookmarkEnd w:id="59"/>
      <w:bookmarkEnd w:id="60"/>
      <w:bookmarkEnd w:id="61"/>
      <w:bookmarkEnd w:id="62"/>
      <w:bookmarkEnd w:id="63"/>
      <w:bookmarkEnd w:id="64"/>
      <w:bookmarkEnd w:id="65"/>
      <w:bookmarkEnd w:id="66"/>
      <w:bookmarkEnd w:id="67"/>
    </w:p>
    <w:p w14:paraId="641EE024">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68" w:name="_Toc183582205"/>
      <w:bookmarkStart w:id="69" w:name="_Toc183682342"/>
      <w:bookmarkStart w:id="70" w:name="_Toc217446034"/>
    </w:p>
    <w:p w14:paraId="2FC21170">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1.</w:t>
      </w:r>
      <w:bookmarkEnd w:id="68"/>
      <w:bookmarkEnd w:id="69"/>
      <w:r>
        <w:rPr>
          <w:rFonts w:hint="eastAsia" w:hAnsi="宋体" w:cs="宋体"/>
          <w:color w:val="auto"/>
          <w:sz w:val="24"/>
          <w:szCs w:val="24"/>
          <w:highlight w:val="none"/>
        </w:rPr>
        <w:t>适用范围</w:t>
      </w:r>
      <w:bookmarkEnd w:id="70"/>
    </w:p>
    <w:p w14:paraId="560B0597">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 本磋商文件仅适用于本次磋商所叙述的采购。</w:t>
      </w:r>
    </w:p>
    <w:p w14:paraId="0BC80711">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 本磋商文件的解释权归采购人和采购代理机构所有。</w:t>
      </w:r>
    </w:p>
    <w:p w14:paraId="32C5FFAE">
      <w:pPr>
        <w:pStyle w:val="13"/>
        <w:numPr>
          <w:ilvl w:val="0"/>
          <w:numId w:val="0"/>
        </w:numPr>
        <w:shd w:val="clear" w:color="auto" w:fill="auto"/>
        <w:rPr>
          <w:rFonts w:hint="eastAsia" w:ascii="宋体" w:hAnsi="宋体" w:eastAsia="宋体" w:cs="宋体"/>
          <w:color w:val="auto"/>
          <w:highlight w:val="none"/>
        </w:rPr>
      </w:pPr>
    </w:p>
    <w:p w14:paraId="61FBC688">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71" w:name="_Toc183582206"/>
      <w:bookmarkStart w:id="72" w:name="_Toc217446035"/>
      <w:bookmarkStart w:id="73" w:name="_Toc183682343"/>
      <w:r>
        <w:rPr>
          <w:rFonts w:hint="eastAsia" w:hAnsi="宋体" w:cs="宋体"/>
          <w:color w:val="auto"/>
          <w:sz w:val="24"/>
          <w:highlight w:val="none"/>
        </w:rPr>
        <w:t>2.</w:t>
      </w:r>
      <w:bookmarkEnd w:id="71"/>
      <w:bookmarkEnd w:id="72"/>
      <w:bookmarkEnd w:id="73"/>
      <w:r>
        <w:rPr>
          <w:rFonts w:hint="eastAsia" w:hAnsi="宋体" w:cs="宋体"/>
          <w:color w:val="auto"/>
          <w:sz w:val="24"/>
          <w:highlight w:val="none"/>
        </w:rPr>
        <w:t>采购主体</w:t>
      </w:r>
    </w:p>
    <w:p w14:paraId="4CFC4F02">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2.1本次磋商的采购人是</w:t>
      </w:r>
      <w:r>
        <w:rPr>
          <w:rFonts w:hint="eastAsia" w:hAnsi="宋体" w:cs="宋体"/>
          <w:color w:val="auto"/>
          <w:sz w:val="24"/>
          <w:highlight w:val="none"/>
          <w:u w:val="single"/>
          <w:lang w:eastAsia="zh-CN"/>
        </w:rPr>
        <w:t>资中县中医医院</w:t>
      </w:r>
      <w:r>
        <w:rPr>
          <w:rFonts w:hint="eastAsia" w:hAnsi="宋体" w:cs="宋体"/>
          <w:color w:val="auto"/>
          <w:sz w:val="24"/>
          <w:highlight w:val="none"/>
        </w:rPr>
        <w:t>。</w:t>
      </w:r>
    </w:p>
    <w:p w14:paraId="1A13E5A3">
      <w:pPr>
        <w:shd w:val="clear" w:color="auto" w:fill="auto"/>
        <w:tabs>
          <w:tab w:val="left" w:pos="7665"/>
        </w:tabs>
        <w:spacing w:line="400" w:lineRule="exact"/>
        <w:ind w:firstLine="480" w:firstLineChars="200"/>
        <w:rPr>
          <w:rFonts w:hint="eastAsia" w:hAnsi="宋体" w:cs="宋体"/>
          <w:color w:val="auto"/>
          <w:sz w:val="24"/>
          <w:highlight w:val="none"/>
        </w:rPr>
      </w:pPr>
    </w:p>
    <w:p w14:paraId="5415C574">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74" w:name="_Toc183582207"/>
      <w:bookmarkStart w:id="75" w:name="_Toc183682344"/>
      <w:bookmarkStart w:id="76" w:name="_Toc217390843"/>
      <w:bookmarkStart w:id="77" w:name="_Toc217446036"/>
      <w:r>
        <w:rPr>
          <w:rFonts w:hint="eastAsia" w:hAnsi="宋体" w:cs="宋体"/>
          <w:color w:val="auto"/>
          <w:sz w:val="24"/>
          <w:highlight w:val="none"/>
        </w:rPr>
        <w:t>3. 合格</w:t>
      </w:r>
      <w:bookmarkEnd w:id="74"/>
      <w:bookmarkEnd w:id="75"/>
      <w:bookmarkEnd w:id="76"/>
      <w:bookmarkEnd w:id="77"/>
      <w:r>
        <w:rPr>
          <w:rFonts w:hint="eastAsia" w:hAnsi="宋体" w:cs="宋体"/>
          <w:color w:val="auto"/>
          <w:sz w:val="24"/>
          <w:highlight w:val="none"/>
        </w:rPr>
        <w:t>供应商（实质性要求）</w:t>
      </w:r>
    </w:p>
    <w:p w14:paraId="7B296375">
      <w:pPr>
        <w:shd w:val="clear" w:color="auto" w:fill="auto"/>
        <w:tabs>
          <w:tab w:val="left" w:pos="7665"/>
        </w:tabs>
        <w:spacing w:line="400" w:lineRule="exact"/>
        <w:rPr>
          <w:rFonts w:hint="eastAsia" w:hAnsi="宋体" w:cs="宋体"/>
          <w:color w:val="auto"/>
          <w:sz w:val="24"/>
          <w:highlight w:val="none"/>
        </w:rPr>
      </w:pPr>
      <w:r>
        <w:rPr>
          <w:rFonts w:hint="eastAsia" w:hAnsi="宋体" w:cs="宋体"/>
          <w:b/>
          <w:color w:val="auto"/>
          <w:sz w:val="24"/>
          <w:highlight w:val="none"/>
        </w:rPr>
        <w:t xml:space="preserve">    </w:t>
      </w:r>
      <w:r>
        <w:rPr>
          <w:rFonts w:hint="eastAsia" w:hAnsi="宋体" w:cs="宋体"/>
          <w:color w:val="auto"/>
          <w:sz w:val="24"/>
          <w:highlight w:val="none"/>
        </w:rPr>
        <w:t>合格供应商应具备以下条件：</w:t>
      </w:r>
    </w:p>
    <w:p w14:paraId="136DB242">
      <w:pPr>
        <w:shd w:val="clear" w:color="auto" w:fill="auto"/>
        <w:tabs>
          <w:tab w:val="left" w:pos="7665"/>
        </w:tabs>
        <w:spacing w:line="400" w:lineRule="exact"/>
        <w:ind w:firstLine="480" w:firstLineChars="200"/>
        <w:rPr>
          <w:rFonts w:hint="eastAsia" w:hAnsi="宋体" w:cs="宋体"/>
          <w:color w:val="auto"/>
          <w:spacing w:val="-4"/>
          <w:sz w:val="24"/>
          <w:highlight w:val="none"/>
        </w:rPr>
      </w:pPr>
      <w:r>
        <w:rPr>
          <w:rFonts w:hint="eastAsia" w:hAnsi="宋体" w:cs="宋体"/>
          <w:color w:val="auto"/>
          <w:sz w:val="24"/>
          <w:highlight w:val="none"/>
        </w:rPr>
        <w:t>3.1 具备法律法规和本采购文件规定的资格条件</w:t>
      </w:r>
      <w:r>
        <w:rPr>
          <w:rFonts w:hint="eastAsia" w:hAnsi="宋体" w:cs="宋体"/>
          <w:color w:val="auto"/>
          <w:spacing w:val="-4"/>
          <w:sz w:val="24"/>
          <w:highlight w:val="none"/>
        </w:rPr>
        <w:t>；</w:t>
      </w:r>
    </w:p>
    <w:p w14:paraId="28C69B2E">
      <w:pPr>
        <w:shd w:val="clear" w:color="auto" w:fill="auto"/>
        <w:tabs>
          <w:tab w:val="left" w:pos="7665"/>
        </w:tabs>
        <w:spacing w:line="400" w:lineRule="exact"/>
        <w:ind w:firstLine="464" w:firstLineChars="200"/>
        <w:rPr>
          <w:rFonts w:hint="eastAsia" w:hAnsi="宋体" w:cs="宋体"/>
          <w:color w:val="auto"/>
          <w:spacing w:val="-4"/>
          <w:sz w:val="24"/>
          <w:highlight w:val="none"/>
        </w:rPr>
      </w:pPr>
      <w:r>
        <w:rPr>
          <w:rFonts w:hint="eastAsia" w:hAnsi="宋体" w:cs="宋体"/>
          <w:color w:val="auto"/>
          <w:spacing w:val="-4"/>
          <w:sz w:val="24"/>
          <w:highlight w:val="none"/>
        </w:rPr>
        <w:t>3.2 不属于禁止参加本项目采购活动的供应商；</w:t>
      </w:r>
    </w:p>
    <w:p w14:paraId="4CB76C79">
      <w:pPr>
        <w:shd w:val="clear" w:color="auto" w:fill="auto"/>
        <w:tabs>
          <w:tab w:val="left" w:pos="7665"/>
        </w:tabs>
        <w:spacing w:line="400" w:lineRule="exact"/>
        <w:ind w:firstLine="464" w:firstLineChars="200"/>
        <w:rPr>
          <w:rFonts w:hint="eastAsia" w:hAnsi="宋体" w:cs="宋体"/>
          <w:color w:val="auto"/>
          <w:spacing w:val="-4"/>
          <w:sz w:val="24"/>
          <w:highlight w:val="none"/>
        </w:rPr>
      </w:pPr>
      <w:r>
        <w:rPr>
          <w:rFonts w:hint="eastAsia" w:hAnsi="宋体" w:cs="宋体"/>
          <w:color w:val="auto"/>
          <w:spacing w:val="-4"/>
          <w:sz w:val="24"/>
          <w:highlight w:val="none"/>
        </w:rPr>
        <w:t>3.3 按照规定</w:t>
      </w:r>
      <w:r>
        <w:rPr>
          <w:rFonts w:hint="eastAsia" w:hAnsi="宋体" w:cs="宋体"/>
          <w:color w:val="auto"/>
          <w:sz w:val="24"/>
          <w:highlight w:val="none"/>
        </w:rPr>
        <w:t>获取了磋商文件，属于实质性参加采购活动的供应商。</w:t>
      </w:r>
    </w:p>
    <w:p w14:paraId="5127707D">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78" w:name="_Toc183682345"/>
      <w:bookmarkStart w:id="79" w:name="_Toc183582208"/>
      <w:bookmarkStart w:id="80" w:name="_Toc217446037"/>
    </w:p>
    <w:p w14:paraId="31A49D83">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4. 磋商费用</w:t>
      </w:r>
      <w:bookmarkEnd w:id="78"/>
      <w:bookmarkEnd w:id="79"/>
      <w:bookmarkEnd w:id="80"/>
    </w:p>
    <w:p w14:paraId="21A0FB00">
      <w:pPr>
        <w:shd w:val="clear" w:color="auto" w:fill="auto"/>
        <w:tabs>
          <w:tab w:val="left" w:pos="7665"/>
        </w:tabs>
        <w:spacing w:line="400" w:lineRule="exact"/>
        <w:ind w:firstLine="480"/>
        <w:rPr>
          <w:rFonts w:hint="eastAsia" w:hAnsi="宋体" w:cs="宋体"/>
          <w:color w:val="auto"/>
          <w:sz w:val="24"/>
          <w:highlight w:val="none"/>
        </w:rPr>
      </w:pPr>
      <w:r>
        <w:rPr>
          <w:rFonts w:hint="eastAsia" w:hAnsi="宋体" w:cs="宋体"/>
          <w:color w:val="auto"/>
          <w:sz w:val="24"/>
          <w:highlight w:val="none"/>
        </w:rPr>
        <w:t>供应商应自行承担参加磋商活动的全部费用。</w:t>
      </w:r>
    </w:p>
    <w:p w14:paraId="6A47A2DF">
      <w:pPr>
        <w:shd w:val="clear" w:color="auto" w:fill="auto"/>
        <w:rPr>
          <w:rFonts w:hint="eastAsia" w:hAnsi="宋体" w:cs="宋体"/>
          <w:color w:val="auto"/>
          <w:highlight w:val="none"/>
        </w:rPr>
      </w:pPr>
    </w:p>
    <w:p w14:paraId="32A028D5">
      <w:pPr>
        <w:pStyle w:val="73"/>
        <w:shd w:val="clear" w:color="auto" w:fill="auto"/>
        <w:spacing w:line="400" w:lineRule="exact"/>
        <w:ind w:left="1" w:firstLine="482" w:firstLineChars="200"/>
        <w:rPr>
          <w:rFonts w:hint="eastAsia" w:hAnsi="宋体" w:cs="宋体"/>
          <w:b/>
          <w:color w:val="auto"/>
          <w:sz w:val="24"/>
          <w:highlight w:val="none"/>
        </w:rPr>
      </w:pPr>
      <w:r>
        <w:rPr>
          <w:rFonts w:hint="eastAsia" w:hAnsi="宋体" w:cs="宋体"/>
          <w:b/>
          <w:color w:val="auto"/>
          <w:sz w:val="24"/>
          <w:highlight w:val="none"/>
        </w:rPr>
        <w:t>5.充分、公平竞争保障措施</w:t>
      </w:r>
      <w:r>
        <w:rPr>
          <w:rFonts w:hint="eastAsia" w:hAnsi="宋体" w:cs="宋体"/>
          <w:b/>
          <w:bCs/>
          <w:color w:val="auto"/>
          <w:sz w:val="24"/>
          <w:highlight w:val="none"/>
        </w:rPr>
        <w:t>（实质性要求）</w:t>
      </w:r>
    </w:p>
    <w:p w14:paraId="55E433C9">
      <w:pPr>
        <w:pStyle w:val="73"/>
        <w:shd w:val="clear" w:color="auto" w:fill="auto"/>
        <w:spacing w:line="400" w:lineRule="exact"/>
        <w:ind w:left="1" w:firstLine="480" w:firstLineChars="200"/>
        <w:rPr>
          <w:rFonts w:hint="eastAsia" w:hAnsi="宋体" w:cs="宋体"/>
          <w:color w:val="auto"/>
          <w:sz w:val="28"/>
          <w:szCs w:val="28"/>
          <w:highlight w:val="none"/>
        </w:rPr>
      </w:pPr>
      <w:r>
        <w:rPr>
          <w:rFonts w:hint="eastAsia" w:hAnsi="宋体" w:cs="宋体"/>
          <w:color w:val="auto"/>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7D1F5E0">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F4DA2F7">
      <w:pPr>
        <w:pStyle w:val="73"/>
        <w:shd w:val="clear" w:color="auto" w:fill="auto"/>
        <w:spacing w:line="400" w:lineRule="exact"/>
        <w:ind w:left="1" w:firstLine="480" w:firstLineChars="200"/>
        <w:rPr>
          <w:rFonts w:hint="eastAsia" w:hAnsi="宋体" w:cs="宋体"/>
          <w:b/>
          <w:bCs/>
          <w:color w:val="auto"/>
          <w:sz w:val="24"/>
          <w:szCs w:val="22"/>
          <w:highlight w:val="none"/>
        </w:rPr>
      </w:pPr>
      <w:r>
        <w:rPr>
          <w:rFonts w:hint="eastAsia" w:hAnsi="宋体" w:cs="宋体"/>
          <w:color w:val="auto"/>
          <w:sz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6B0735B">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5.4供应商实际控制人或者中高级管理人员，同时是采购代理机构工作人员，不得参与本项目采购活动。</w:t>
      </w:r>
    </w:p>
    <w:p w14:paraId="2ACB141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5.5同一母公司的两家以上的子公司只能组成联合体参加本项目同一合同项下的采购活动，不得以不同供应商身份同时参加本项目同一合同项下的采购活动。</w:t>
      </w:r>
    </w:p>
    <w:p w14:paraId="2755245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5.6供应商与采购代理机构存在关联关系，或者是采购代理机构的母公司或子公司，不得参加本项目采购活动。</w:t>
      </w:r>
    </w:p>
    <w:p w14:paraId="4241D408">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5.7回避。采购活动中，采购人员及相关人员与供应商有下列利害关系之一的，应当回避：</w:t>
      </w:r>
    </w:p>
    <w:p w14:paraId="6C1831CA">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（1）参加采购活动前3年内与供应商存在劳动关系；</w:t>
      </w:r>
    </w:p>
    <w:p w14:paraId="2942F04C">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（2）参加采购活动前3年内担任供应商的董事、监事；</w:t>
      </w:r>
    </w:p>
    <w:p w14:paraId="6233B6D1">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（3）参加采购活动前3年内是供应商的控股股东或者实际控制人；</w:t>
      </w:r>
    </w:p>
    <w:p w14:paraId="681AD160">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（4）与供应商的法定代表人或者负责人有夫妻、直系血亲、三代以内旁系血亲或者近姻亲关系；</w:t>
      </w:r>
    </w:p>
    <w:p w14:paraId="6EF94D18">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（5）与供应商有其他可能影响采购活动公平、公正进行的关系。</w:t>
      </w:r>
    </w:p>
    <w:p w14:paraId="058E24F6">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1A181299">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4492E101">
      <w:pPr>
        <w:pStyle w:val="73"/>
        <w:shd w:val="clear" w:color="auto" w:fill="auto"/>
        <w:spacing w:line="400" w:lineRule="exact"/>
        <w:ind w:left="1" w:firstLine="482" w:firstLineChars="200"/>
        <w:rPr>
          <w:rFonts w:hint="eastAsia" w:hAnsi="宋体" w:cs="宋体"/>
          <w:b/>
          <w:color w:val="auto"/>
          <w:sz w:val="24"/>
          <w:highlight w:val="none"/>
        </w:rPr>
      </w:pPr>
    </w:p>
    <w:p w14:paraId="20A42093">
      <w:pPr>
        <w:pStyle w:val="73"/>
        <w:shd w:val="clear" w:color="auto" w:fill="auto"/>
        <w:spacing w:line="400" w:lineRule="exact"/>
        <w:ind w:left="1" w:firstLine="482" w:firstLineChars="200"/>
        <w:rPr>
          <w:rFonts w:hint="eastAsia" w:hAnsi="宋体" w:cs="宋体"/>
          <w:b/>
          <w:color w:val="auto"/>
          <w:sz w:val="24"/>
          <w:highlight w:val="none"/>
        </w:rPr>
      </w:pPr>
      <w:r>
        <w:rPr>
          <w:rFonts w:hint="eastAsia" w:hAnsi="宋体" w:cs="宋体"/>
          <w:b/>
          <w:color w:val="auto"/>
          <w:sz w:val="24"/>
          <w:highlight w:val="none"/>
        </w:rPr>
        <w:t>6.联合体竞争性磋商</w:t>
      </w:r>
      <w:r>
        <w:rPr>
          <w:rFonts w:hint="eastAsia" w:hAnsi="宋体" w:cs="宋体"/>
          <w:b/>
          <w:bCs/>
          <w:color w:val="auto"/>
          <w:sz w:val="24"/>
          <w:highlight w:val="none"/>
        </w:rPr>
        <w:t>（实质性要求）</w:t>
      </w:r>
    </w:p>
    <w:p w14:paraId="53C9FFD2">
      <w:pPr>
        <w:pStyle w:val="73"/>
        <w:shd w:val="clear" w:color="auto" w:fill="auto"/>
        <w:spacing w:line="400" w:lineRule="exact"/>
        <w:ind w:left="1" w:firstLine="480" w:firstLineChars="200"/>
        <w:rPr>
          <w:rFonts w:hint="eastAsia" w:hAnsi="宋体" w:cs="宋体"/>
          <w:color w:val="auto"/>
          <w:sz w:val="24"/>
          <w:highlight w:val="none"/>
        </w:rPr>
      </w:pPr>
      <w:r>
        <w:rPr>
          <w:rFonts w:hint="eastAsia" w:hAnsi="宋体" w:cs="宋体"/>
          <w:color w:val="auto"/>
          <w:sz w:val="24"/>
          <w:highlight w:val="none"/>
        </w:rPr>
        <w:t>本项目不接受联合体参与采购活动。</w:t>
      </w:r>
    </w:p>
    <w:p w14:paraId="4D328273">
      <w:pPr>
        <w:pStyle w:val="73"/>
        <w:shd w:val="clear" w:color="auto" w:fill="auto"/>
        <w:spacing w:line="400" w:lineRule="exact"/>
        <w:ind w:left="1" w:firstLine="480" w:firstLineChars="200"/>
        <w:rPr>
          <w:rFonts w:hint="eastAsia" w:hAnsi="宋体" w:cs="宋体"/>
          <w:color w:val="auto"/>
          <w:sz w:val="24"/>
          <w:highlight w:val="none"/>
        </w:rPr>
      </w:pPr>
    </w:p>
    <w:p w14:paraId="5F14E7F9">
      <w:pPr>
        <w:pStyle w:val="73"/>
        <w:shd w:val="clear" w:color="auto" w:fill="auto"/>
        <w:spacing w:line="400" w:lineRule="exact"/>
        <w:ind w:left="1" w:firstLine="482" w:firstLineChars="200"/>
        <w:rPr>
          <w:rFonts w:hint="eastAsia" w:hAnsi="宋体" w:cs="宋体"/>
          <w:b/>
          <w:color w:val="auto"/>
          <w:sz w:val="24"/>
          <w:highlight w:val="none"/>
        </w:rPr>
      </w:pPr>
      <w:r>
        <w:rPr>
          <w:rFonts w:hint="eastAsia" w:hAnsi="宋体" w:cs="宋体"/>
          <w:b/>
          <w:color w:val="auto"/>
          <w:sz w:val="24"/>
          <w:highlight w:val="none"/>
        </w:rPr>
        <w:t>7.磋商保证金</w:t>
      </w:r>
    </w:p>
    <w:p w14:paraId="16D932B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本项目不收取保证金。</w:t>
      </w:r>
    </w:p>
    <w:p w14:paraId="6D5C62F0">
      <w:pPr>
        <w:pStyle w:val="13"/>
        <w:numPr>
          <w:ilvl w:val="0"/>
          <w:numId w:val="0"/>
        </w:numPr>
        <w:shd w:val="clear" w:color="auto" w:fill="auto"/>
        <w:rPr>
          <w:rFonts w:hint="eastAsia" w:ascii="宋体" w:hAnsi="宋体" w:eastAsia="宋体" w:cs="宋体"/>
          <w:color w:val="auto"/>
          <w:highlight w:val="none"/>
        </w:rPr>
      </w:pPr>
    </w:p>
    <w:p w14:paraId="7B1B75EA">
      <w:pPr>
        <w:shd w:val="clear" w:color="auto" w:fill="auto"/>
        <w:spacing w:line="400" w:lineRule="exact"/>
        <w:ind w:firstLine="472" w:firstLineChars="196"/>
        <w:rPr>
          <w:rFonts w:hint="eastAsia" w:hAnsi="宋体" w:cs="宋体"/>
          <w:b/>
          <w:color w:val="auto"/>
          <w:sz w:val="24"/>
          <w:highlight w:val="none"/>
        </w:rPr>
      </w:pPr>
      <w:r>
        <w:rPr>
          <w:rFonts w:hint="eastAsia" w:hAnsi="宋体" w:cs="宋体"/>
          <w:b/>
          <w:color w:val="auto"/>
          <w:sz w:val="24"/>
          <w:highlight w:val="none"/>
        </w:rPr>
        <w:t>8.响应文件有效期</w:t>
      </w:r>
      <w:r>
        <w:rPr>
          <w:rFonts w:hint="eastAsia" w:hAnsi="宋体" w:cs="宋体"/>
          <w:b/>
          <w:bCs/>
          <w:color w:val="auto"/>
          <w:sz w:val="24"/>
          <w:highlight w:val="none"/>
        </w:rPr>
        <w:t>（实质性要求）</w:t>
      </w:r>
    </w:p>
    <w:p w14:paraId="580D08B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本项目响应文件有效期为递交磋商响应文件截止之日起60天。供应商响应文件中必须载明响应文件有效期，响应文件中载明的响应文件有效期可以长于磋商文件规定的期限，但不得短于磋商文件规定的期限。否则，其响应文件将作为无效处理。</w:t>
      </w:r>
    </w:p>
    <w:p w14:paraId="2FB9A8DC">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2064055F">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5B2A9F4F">
      <w:pPr>
        <w:keepNext w:val="0"/>
        <w:keepLines w:val="0"/>
        <w:shd w:val="clear" w:color="auto" w:fill="auto"/>
        <w:spacing w:before="0" w:after="0" w:line="400" w:lineRule="exact"/>
        <w:jc w:val="center"/>
        <w:outlineLvl w:val="9"/>
        <w:rPr>
          <w:rFonts w:hint="eastAsia" w:ascii="宋体" w:hAnsi="宋体" w:eastAsia="宋体" w:cs="宋体"/>
          <w:bCs/>
          <w:color w:val="auto"/>
          <w:highlight w:val="none"/>
        </w:rPr>
      </w:pPr>
      <w:bookmarkStart w:id="81" w:name="_Toc77400779"/>
      <w:bookmarkStart w:id="82" w:name="_Toc217446038"/>
      <w:bookmarkStart w:id="83" w:name="_Toc183582209"/>
      <w:bookmarkStart w:id="84" w:name="_Toc183682346"/>
      <w:bookmarkStart w:id="85" w:name="_Toc89075875"/>
    </w:p>
    <w:p w14:paraId="338E722A">
      <w:pPr>
        <w:pStyle w:val="3"/>
        <w:keepNext w:val="0"/>
        <w:keepLines w:val="0"/>
        <w:shd w:val="clear" w:color="auto" w:fill="auto"/>
        <w:spacing w:before="0" w:after="0" w:line="400" w:lineRule="exact"/>
        <w:jc w:val="center"/>
        <w:rPr>
          <w:rFonts w:hint="eastAsia" w:ascii="宋体" w:hAnsi="宋体" w:eastAsia="宋体" w:cs="宋体"/>
          <w:bCs w:val="0"/>
          <w:color w:val="auto"/>
          <w:highlight w:val="none"/>
        </w:rPr>
      </w:pPr>
      <w:bookmarkStart w:id="86" w:name="_Toc1394"/>
      <w:bookmarkStart w:id="87" w:name="_Toc24281"/>
      <w:bookmarkStart w:id="88" w:name="_Toc12790"/>
      <w:bookmarkStart w:id="89" w:name="_Toc30258"/>
      <w:bookmarkStart w:id="90" w:name="_Toc8"/>
      <w:bookmarkStart w:id="91" w:name="_Toc5312"/>
      <w:bookmarkStart w:id="92" w:name="_Toc24116"/>
      <w:bookmarkStart w:id="93" w:name="_Toc10360"/>
      <w:bookmarkStart w:id="94" w:name="_Toc14846"/>
      <w:bookmarkStart w:id="95" w:name="_Toc15028"/>
      <w:bookmarkStart w:id="96" w:name="_Toc18282"/>
      <w:bookmarkStart w:id="97" w:name="_Toc27143"/>
      <w:bookmarkStart w:id="98" w:name="_Toc1528"/>
      <w:r>
        <w:rPr>
          <w:rFonts w:hint="eastAsia" w:ascii="宋体" w:hAnsi="宋体" w:eastAsia="宋体" w:cs="宋体"/>
          <w:bCs w:val="0"/>
          <w:color w:val="auto"/>
          <w:highlight w:val="none"/>
        </w:rPr>
        <w:t>三、磋商文件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6AA37DB">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99" w:name="_Toc217446039"/>
      <w:bookmarkStart w:id="100" w:name="_Toc183682347"/>
      <w:bookmarkStart w:id="101" w:name="_Toc183582210"/>
    </w:p>
    <w:p w14:paraId="5E243879">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9．磋商文件的构成</w:t>
      </w:r>
      <w:bookmarkEnd w:id="99"/>
      <w:bookmarkEnd w:id="100"/>
      <w:bookmarkEnd w:id="101"/>
      <w:r>
        <w:rPr>
          <w:rFonts w:hint="eastAsia" w:hAnsi="宋体" w:cs="宋体"/>
          <w:color w:val="auto"/>
          <w:sz w:val="24"/>
          <w:highlight w:val="none"/>
        </w:rPr>
        <w:t>（实质性要求）</w:t>
      </w:r>
    </w:p>
    <w:p w14:paraId="3B38579A">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9</w:t>
      </w:r>
      <w:r>
        <w:rPr>
          <w:rFonts w:hint="eastAsia" w:hAnsi="宋体" w:cs="宋体"/>
          <w:b/>
          <w:bCs/>
          <w:color w:val="auto"/>
          <w:sz w:val="24"/>
          <w:highlight w:val="none"/>
        </w:rPr>
        <w:t>.</w:t>
      </w:r>
      <w:r>
        <w:rPr>
          <w:rFonts w:hint="eastAsia" w:hAnsi="宋体" w:cs="宋体"/>
          <w:color w:val="auto"/>
          <w:sz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15B79254">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9</w:t>
      </w:r>
      <w:r>
        <w:rPr>
          <w:rFonts w:hint="eastAsia" w:hAnsi="宋体" w:cs="宋体"/>
          <w:b/>
          <w:bCs/>
          <w:color w:val="auto"/>
          <w:sz w:val="24"/>
          <w:highlight w:val="none"/>
        </w:rPr>
        <w:t>.</w:t>
      </w:r>
      <w:r>
        <w:rPr>
          <w:rFonts w:hint="eastAsia" w:hAnsi="宋体" w:cs="宋体"/>
          <w:color w:val="auto"/>
          <w:sz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3E8D2C61">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bookmarkStart w:id="102" w:name="_Toc183682348"/>
      <w:bookmarkStart w:id="103" w:name="_Toc183582211"/>
      <w:bookmarkStart w:id="104" w:name="_Toc217446040"/>
    </w:p>
    <w:p w14:paraId="79BE9183">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10. 磋商文件的澄清</w:t>
      </w:r>
      <w:bookmarkEnd w:id="102"/>
      <w:bookmarkEnd w:id="103"/>
      <w:r>
        <w:rPr>
          <w:rFonts w:hint="eastAsia" w:hAnsi="宋体" w:cs="宋体"/>
          <w:color w:val="auto"/>
          <w:sz w:val="24"/>
          <w:highlight w:val="none"/>
        </w:rPr>
        <w:t>和修改</w:t>
      </w:r>
      <w:bookmarkEnd w:id="104"/>
    </w:p>
    <w:p w14:paraId="1D7FE2C8">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10.1 在递交响应文件截止时间前，采购人、采购代理机构可以对磋商文件进行澄清或者修改。</w:t>
      </w:r>
    </w:p>
    <w:p w14:paraId="0D251DF3">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10.2 采购代理机构对已发出的磋商文件进行澄清或者修改，应当以书面形式将澄清或者修改的内容通知所有购买了磋商文件的供应商，同时在</w:t>
      </w:r>
      <w:r>
        <w:rPr>
          <w:rFonts w:hint="eastAsia" w:hAnsi="宋体" w:cs="宋体"/>
          <w:color w:val="auto"/>
          <w:sz w:val="24"/>
          <w:highlight w:val="none"/>
          <w:lang w:eastAsia="zh-CN"/>
        </w:rPr>
        <w:t>资中县中医医院官方网站</w:t>
      </w:r>
      <w:r>
        <w:rPr>
          <w:rFonts w:hint="eastAsia" w:hAnsi="宋体" w:cs="宋体"/>
          <w:color w:val="auto"/>
          <w:sz w:val="24"/>
          <w:highlight w:val="none"/>
        </w:rPr>
        <w:t>上发布更正公告。该澄清或者修改的内容为磋商文件的组成部分，澄清或者修改的内容可能影响响应文件编制的，采购人或者采购代理机构发布公告并书面通知供应商的时间，应当在提交首次响应文件截止时间至少5日前；不足上述时间的，应当顺延递交响应文件的截止时间。</w:t>
      </w:r>
    </w:p>
    <w:p w14:paraId="7791917B">
      <w:pPr>
        <w:shd w:val="clear" w:color="auto" w:fill="auto"/>
        <w:tabs>
          <w:tab w:val="left" w:pos="720"/>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10.3供应商认为</w:t>
      </w:r>
      <w:r>
        <w:rPr>
          <w:rFonts w:hint="eastAsia" w:hAnsi="宋体" w:cs="宋体"/>
          <w:color w:val="auto"/>
          <w:sz w:val="24"/>
          <w:highlight w:val="none"/>
          <w:lang w:eastAsia="zh-CN"/>
        </w:rPr>
        <w:t>资中县中医医院</w:t>
      </w:r>
      <w:r>
        <w:rPr>
          <w:rFonts w:hint="eastAsia" w:hAnsi="宋体" w:cs="宋体"/>
          <w:color w:val="auto"/>
          <w:sz w:val="24"/>
          <w:highlight w:val="none"/>
        </w:rPr>
        <w:t>需要对磋商文件进行澄清或者修改的，可以在响应文件递交截止时间前以书面形式向</w:t>
      </w:r>
      <w:r>
        <w:rPr>
          <w:rFonts w:hint="eastAsia" w:hAnsi="宋体" w:cs="宋体"/>
          <w:color w:val="auto"/>
          <w:sz w:val="24"/>
          <w:highlight w:val="none"/>
          <w:lang w:eastAsia="zh-CN"/>
        </w:rPr>
        <w:t>资中县中医医院</w:t>
      </w:r>
      <w:r>
        <w:rPr>
          <w:rFonts w:hint="eastAsia" w:hAnsi="宋体" w:cs="宋体"/>
          <w:color w:val="auto"/>
          <w:sz w:val="24"/>
          <w:highlight w:val="none"/>
        </w:rPr>
        <w:t>提出申请，由</w:t>
      </w:r>
      <w:r>
        <w:rPr>
          <w:rFonts w:hint="eastAsia" w:hAnsi="宋体" w:cs="宋体"/>
          <w:color w:val="auto"/>
          <w:sz w:val="24"/>
          <w:highlight w:val="none"/>
          <w:lang w:eastAsia="zh-CN"/>
        </w:rPr>
        <w:t>资中县中医医院</w:t>
      </w:r>
      <w:r>
        <w:rPr>
          <w:rFonts w:hint="eastAsia" w:hAnsi="宋体" w:cs="宋体"/>
          <w:color w:val="auto"/>
          <w:sz w:val="24"/>
          <w:highlight w:val="none"/>
        </w:rPr>
        <w:t>采购代理机构决定是否采纳供应商的申请事项。</w:t>
      </w:r>
    </w:p>
    <w:p w14:paraId="4F142AD3">
      <w:pPr>
        <w:keepNext w:val="0"/>
        <w:keepLines w:val="0"/>
        <w:shd w:val="clear" w:color="auto" w:fill="auto"/>
        <w:spacing w:before="0" w:after="0" w:line="400" w:lineRule="exact"/>
        <w:ind w:firstLine="480" w:firstLineChars="200"/>
        <w:outlineLvl w:val="9"/>
        <w:rPr>
          <w:rFonts w:hint="eastAsia" w:hAnsi="宋体" w:cs="宋体"/>
          <w:color w:val="auto"/>
          <w:sz w:val="24"/>
          <w:highlight w:val="none"/>
        </w:rPr>
      </w:pPr>
    </w:p>
    <w:p w14:paraId="2A171F52">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105" w:name="_Toc217446041"/>
      <w:bookmarkStart w:id="106" w:name="_Toc208848971"/>
      <w:r>
        <w:rPr>
          <w:rFonts w:hint="eastAsia" w:hAnsi="宋体" w:cs="宋体"/>
          <w:color w:val="auto"/>
          <w:sz w:val="24"/>
          <w:highlight w:val="none"/>
        </w:rPr>
        <w:t>11. 答疑会和现场考察</w:t>
      </w:r>
      <w:bookmarkEnd w:id="105"/>
      <w:bookmarkEnd w:id="106"/>
    </w:p>
    <w:p w14:paraId="540203B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11.1 根据采购项目和具体情况，采购人、采购代理机构认为有必要，可以在磋商文件提供期限截止后响应文件提交截止前，组织已获取磋商文件的潜在供应商现场考察或者召开答疑会。</w:t>
      </w:r>
    </w:p>
    <w:p w14:paraId="3D77547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11.2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237AD9E">
      <w:pPr>
        <w:shd w:val="clear" w:color="auto" w:fill="auto"/>
        <w:adjustRightInd w:val="0"/>
        <w:snapToGrid w:val="0"/>
        <w:spacing w:line="400" w:lineRule="exact"/>
        <w:ind w:firstLine="420" w:firstLineChars="175"/>
        <w:rPr>
          <w:rFonts w:hint="eastAsia" w:hAnsi="宋体" w:cs="宋体"/>
          <w:color w:val="auto"/>
          <w:sz w:val="24"/>
          <w:highlight w:val="none"/>
        </w:rPr>
      </w:pPr>
      <w:r>
        <w:rPr>
          <w:rFonts w:hint="eastAsia" w:hAnsi="宋体" w:cs="宋体"/>
          <w:color w:val="auto"/>
          <w:sz w:val="24"/>
          <w:highlight w:val="none"/>
        </w:rPr>
        <w:t>11.3 供应商考察现场或者参加答疑会所发生的一切费用由供应商自己承担。</w:t>
      </w:r>
    </w:p>
    <w:p w14:paraId="00107CBE">
      <w:pPr>
        <w:shd w:val="clear" w:color="auto" w:fill="auto"/>
        <w:rPr>
          <w:rFonts w:hint="eastAsia" w:hAnsi="宋体" w:cs="宋体"/>
          <w:bCs/>
          <w:color w:val="auto"/>
          <w:highlight w:val="none"/>
        </w:rPr>
      </w:pPr>
      <w:bookmarkStart w:id="107" w:name="_Toc183582214"/>
      <w:bookmarkStart w:id="108" w:name="_Toc77400780"/>
      <w:bookmarkStart w:id="109" w:name="_Toc183682351"/>
      <w:bookmarkStart w:id="110" w:name="_Toc217446042"/>
      <w:bookmarkStart w:id="111" w:name="_Toc89075876"/>
    </w:p>
    <w:p w14:paraId="01A34762">
      <w:pPr>
        <w:pStyle w:val="13"/>
        <w:numPr>
          <w:ilvl w:val="0"/>
          <w:numId w:val="0"/>
        </w:numPr>
        <w:shd w:val="clear" w:color="auto" w:fill="auto"/>
        <w:rPr>
          <w:rFonts w:hint="eastAsia" w:ascii="宋体" w:hAnsi="宋体" w:eastAsia="宋体" w:cs="宋体"/>
          <w:color w:val="auto"/>
          <w:highlight w:val="none"/>
        </w:rPr>
      </w:pPr>
    </w:p>
    <w:p w14:paraId="36596BAF">
      <w:pPr>
        <w:pStyle w:val="13"/>
        <w:numPr>
          <w:ilvl w:val="0"/>
          <w:numId w:val="0"/>
        </w:numPr>
        <w:shd w:val="clear" w:color="auto" w:fill="auto"/>
        <w:rPr>
          <w:rFonts w:hint="eastAsia" w:ascii="宋体" w:hAnsi="宋体" w:eastAsia="宋体" w:cs="宋体"/>
          <w:color w:val="auto"/>
          <w:highlight w:val="none"/>
        </w:rPr>
      </w:pPr>
    </w:p>
    <w:p w14:paraId="237B4BA3">
      <w:pPr>
        <w:pStyle w:val="3"/>
        <w:keepNext w:val="0"/>
        <w:keepLines w:val="0"/>
        <w:shd w:val="clear" w:color="auto" w:fill="auto"/>
        <w:spacing w:before="0" w:after="0" w:line="400" w:lineRule="exact"/>
        <w:jc w:val="center"/>
        <w:rPr>
          <w:rFonts w:hint="eastAsia" w:ascii="宋体" w:hAnsi="宋体" w:eastAsia="宋体" w:cs="宋体"/>
          <w:bCs w:val="0"/>
          <w:color w:val="auto"/>
          <w:highlight w:val="none"/>
        </w:rPr>
      </w:pPr>
      <w:bookmarkStart w:id="112" w:name="_Toc15031"/>
      <w:bookmarkStart w:id="113" w:name="_Toc17513"/>
      <w:bookmarkStart w:id="114" w:name="_Toc2807"/>
      <w:bookmarkStart w:id="115" w:name="_Toc8824"/>
      <w:bookmarkStart w:id="116" w:name="_Toc10249"/>
      <w:bookmarkStart w:id="117" w:name="_Toc23179"/>
      <w:bookmarkStart w:id="118" w:name="_Toc9823"/>
      <w:bookmarkStart w:id="119" w:name="_Toc9191"/>
      <w:bookmarkStart w:id="120" w:name="_Toc668"/>
      <w:bookmarkStart w:id="121" w:name="_Toc20806"/>
      <w:bookmarkStart w:id="122" w:name="_Toc32421"/>
      <w:bookmarkStart w:id="123" w:name="_Toc24893"/>
      <w:bookmarkStart w:id="124" w:name="_Toc26934"/>
      <w:r>
        <w:rPr>
          <w:rFonts w:hint="eastAsia" w:ascii="宋体" w:hAnsi="宋体" w:eastAsia="宋体" w:cs="宋体"/>
          <w:bCs w:val="0"/>
          <w:color w:val="auto"/>
          <w:highlight w:val="none"/>
        </w:rPr>
        <w:t>四、响应文件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55855FB">
      <w:pPr>
        <w:shd w:val="clear" w:color="auto" w:fill="auto"/>
        <w:rPr>
          <w:rFonts w:hint="eastAsia" w:hAnsi="宋体" w:cs="宋体"/>
          <w:color w:val="auto"/>
          <w:highlight w:val="none"/>
        </w:rPr>
      </w:pPr>
    </w:p>
    <w:p w14:paraId="749A3B5A">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bookmarkStart w:id="125" w:name="_Toc217446043"/>
      <w:bookmarkStart w:id="126" w:name="_Toc183582215"/>
      <w:bookmarkStart w:id="127" w:name="_Toc183682352"/>
      <w:r>
        <w:rPr>
          <w:rFonts w:hint="eastAsia" w:hAnsi="宋体" w:cs="宋体"/>
          <w:color w:val="auto"/>
          <w:sz w:val="24"/>
          <w:highlight w:val="none"/>
        </w:rPr>
        <w:t>12.响应文件的组成（实质性要求）</w:t>
      </w:r>
    </w:p>
    <w:p w14:paraId="675C39D3">
      <w:pPr>
        <w:shd w:val="clear" w:color="auto" w:fill="auto"/>
        <w:spacing w:line="312" w:lineRule="auto"/>
        <w:ind w:left="3" w:leftChars="1" w:firstLine="480" w:firstLineChars="200"/>
        <w:rPr>
          <w:rFonts w:hint="eastAsia" w:hAnsi="宋体" w:cs="宋体"/>
          <w:color w:val="auto"/>
          <w:sz w:val="24"/>
          <w:highlight w:val="none"/>
        </w:rPr>
      </w:pPr>
      <w:r>
        <w:rPr>
          <w:rFonts w:hint="eastAsia" w:hAnsi="宋体" w:cs="宋体"/>
          <w:color w:val="auto"/>
          <w:sz w:val="24"/>
          <w:highlight w:val="none"/>
        </w:rPr>
        <w:t>12.1供应商应按照磋商文件的规定和要求编制响应文件。供应商在成交后将成交项目的非主体、非关键性工作分包他人完成的，应当在响应文件中载明或磋商过程中澄清。供应商编写的响应文件应包括</w:t>
      </w:r>
      <w:r>
        <w:rPr>
          <w:rFonts w:hint="eastAsia" w:hAnsi="宋体" w:cs="宋体"/>
          <w:b/>
          <w:bCs/>
          <w:color w:val="auto"/>
          <w:sz w:val="24"/>
          <w:highlight w:val="none"/>
        </w:rPr>
        <w:t>资格性响应文件</w:t>
      </w:r>
      <w:r>
        <w:rPr>
          <w:rFonts w:hint="eastAsia" w:hAnsi="宋体" w:cs="宋体"/>
          <w:color w:val="auto"/>
          <w:sz w:val="24"/>
          <w:highlight w:val="none"/>
        </w:rPr>
        <w:t>、</w:t>
      </w:r>
      <w:r>
        <w:rPr>
          <w:rFonts w:hint="eastAsia" w:hAnsi="宋体" w:cs="宋体"/>
          <w:b/>
          <w:bCs/>
          <w:color w:val="auto"/>
          <w:sz w:val="24"/>
          <w:highlight w:val="none"/>
        </w:rPr>
        <w:t>其他响应文件</w:t>
      </w:r>
      <w:r>
        <w:rPr>
          <w:rFonts w:hint="eastAsia" w:hAnsi="宋体" w:cs="宋体"/>
          <w:color w:val="auto"/>
          <w:sz w:val="24"/>
          <w:highlight w:val="none"/>
        </w:rPr>
        <w:t>两部分，分册装订。</w:t>
      </w:r>
    </w:p>
    <w:p w14:paraId="69E89519">
      <w:pPr>
        <w:pStyle w:val="4"/>
        <w:keepNext w:val="0"/>
        <w:keepLines w:val="0"/>
        <w:shd w:val="clear" w:color="auto" w:fill="auto"/>
        <w:spacing w:before="0" w:after="0" w:line="288" w:lineRule="auto"/>
        <w:ind w:firstLine="482" w:firstLineChars="200"/>
        <w:rPr>
          <w:rFonts w:hint="eastAsia" w:hAnsi="宋体" w:cs="宋体"/>
          <w:color w:val="auto"/>
          <w:sz w:val="24"/>
          <w:highlight w:val="none"/>
        </w:rPr>
      </w:pPr>
      <w:r>
        <w:rPr>
          <w:rFonts w:hint="eastAsia" w:hAnsi="宋体" w:cs="宋体"/>
          <w:color w:val="auto"/>
          <w:sz w:val="24"/>
          <w:highlight w:val="none"/>
        </w:rPr>
        <w:t>第一部分：资格性响应文件</w:t>
      </w:r>
    </w:p>
    <w:p w14:paraId="6582D653">
      <w:pPr>
        <w:shd w:val="clear" w:color="auto" w:fill="auto"/>
        <w:spacing w:line="288" w:lineRule="auto"/>
        <w:ind w:firstLine="480" w:firstLineChars="200"/>
        <w:rPr>
          <w:rFonts w:hint="eastAsia" w:hAnsi="宋体" w:cs="宋体"/>
          <w:color w:val="auto"/>
          <w:sz w:val="24"/>
          <w:highlight w:val="none"/>
        </w:rPr>
      </w:pPr>
      <w:r>
        <w:rPr>
          <w:rFonts w:hint="eastAsia" w:hAnsi="宋体" w:cs="宋体"/>
          <w:color w:val="auto"/>
          <w:sz w:val="24"/>
          <w:highlight w:val="none"/>
        </w:rPr>
        <w:t>包括但不限于竞争性磋商文件第三、四章规定的资格证明材料；</w:t>
      </w:r>
    </w:p>
    <w:p w14:paraId="09896501">
      <w:pPr>
        <w:pStyle w:val="13"/>
        <w:numPr>
          <w:ilvl w:val="0"/>
          <w:numId w:val="0"/>
        </w:numPr>
        <w:shd w:val="clear" w:color="auto" w:fill="auto"/>
        <w:spacing w:line="288" w:lineRule="auto"/>
        <w:ind w:firstLine="482" w:firstLineChars="200"/>
        <w:outlineLvl w:val="2"/>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第二部分：其他响应文件</w:t>
      </w:r>
    </w:p>
    <w:p w14:paraId="3B7ABB39">
      <w:pPr>
        <w:pStyle w:val="14"/>
        <w:numPr>
          <w:ilvl w:val="0"/>
          <w:numId w:val="0"/>
        </w:numPr>
        <w:shd w:val="clear" w:color="auto" w:fill="auto"/>
        <w:spacing w:line="28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包括但不限于竞争性磋商文件第六章“其他响应性”的内容；</w:t>
      </w:r>
    </w:p>
    <w:p w14:paraId="1934BEF4">
      <w:pPr>
        <w:pStyle w:val="14"/>
        <w:numPr>
          <w:ilvl w:val="0"/>
          <w:numId w:val="0"/>
        </w:numPr>
        <w:shd w:val="clear" w:color="auto" w:fill="auto"/>
        <w:spacing w:line="288"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12.2现场报价表部分：</w:t>
      </w:r>
    </w:p>
    <w:p w14:paraId="6B6C2292">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12.2.1供应商需准备2份以上的现场报价表，并根据评审小组的要求现场填写报价轮次及金额。</w:t>
      </w:r>
    </w:p>
    <w:p w14:paraId="79223C8F">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12.3现场报价要求（实质性要求）</w:t>
      </w:r>
    </w:p>
    <w:p w14:paraId="0C1E172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12.3.1所有报价均用人民币表示，供应商的报价是响应本项目要求的全部工作内容的验收价格，包括供应商完成本项目所需的一切费用。</w:t>
      </w:r>
    </w:p>
    <w:p w14:paraId="54581A7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12.3.2同一报价表内任何有选择或可调整的报价将按无效响应处理。</w:t>
      </w:r>
    </w:p>
    <w:p w14:paraId="1F0FC4C6">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12.3.3现场报价表内填写的最终报价合计金额将作为本次采购唯一的最终报价依据。</w:t>
      </w:r>
    </w:p>
    <w:p w14:paraId="3A055C4B">
      <w:pPr>
        <w:pStyle w:val="4"/>
        <w:keepNext w:val="0"/>
        <w:keepLines w:val="0"/>
        <w:shd w:val="clear" w:color="auto" w:fill="auto"/>
        <w:spacing w:before="0" w:after="0" w:line="400" w:lineRule="exact"/>
        <w:ind w:firstLine="482" w:firstLineChars="200"/>
        <w:rPr>
          <w:rFonts w:hint="eastAsia" w:hAnsi="宋体" w:cs="宋体"/>
          <w:bCs w:val="0"/>
          <w:color w:val="auto"/>
          <w:sz w:val="24"/>
          <w:highlight w:val="none"/>
        </w:rPr>
      </w:pPr>
      <w:r>
        <w:rPr>
          <w:rFonts w:hint="eastAsia" w:hAnsi="宋体" w:cs="宋体"/>
          <w:bCs w:val="0"/>
          <w:color w:val="auto"/>
          <w:sz w:val="24"/>
          <w:highlight w:val="none"/>
        </w:rPr>
        <w:t>13.响应文件的语言</w:t>
      </w:r>
      <w:bookmarkEnd w:id="125"/>
      <w:bookmarkEnd w:id="126"/>
      <w:bookmarkEnd w:id="127"/>
      <w:r>
        <w:rPr>
          <w:rFonts w:hint="eastAsia" w:hAnsi="宋体" w:cs="宋体"/>
          <w:color w:val="auto"/>
          <w:sz w:val="24"/>
          <w:highlight w:val="none"/>
        </w:rPr>
        <w:t>（实质性要求）</w:t>
      </w:r>
    </w:p>
    <w:p w14:paraId="651EB11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13.1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EC4376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13.2 翻译的中文资料与外文资料如果出现差异和矛盾，以中文为准。但不能故意错误翻译，否则，供应商的响应文件将作为无效处理。</w:t>
      </w:r>
    </w:p>
    <w:p w14:paraId="070D85EC">
      <w:pPr>
        <w:rPr>
          <w:rFonts w:hint="eastAsia"/>
        </w:rPr>
      </w:pPr>
      <w:bookmarkStart w:id="128" w:name="_Toc217446044"/>
      <w:bookmarkStart w:id="129" w:name="_Toc183582216"/>
      <w:bookmarkStart w:id="130" w:name="_Toc183682353"/>
    </w:p>
    <w:p w14:paraId="7DBE49E6">
      <w:pPr>
        <w:pStyle w:val="4"/>
        <w:keepNext w:val="0"/>
        <w:keepLines w:val="0"/>
        <w:shd w:val="clear" w:color="auto" w:fill="auto"/>
        <w:spacing w:before="0" w:after="0" w:line="400" w:lineRule="exact"/>
        <w:ind w:firstLine="482" w:firstLineChars="200"/>
        <w:rPr>
          <w:rFonts w:hint="eastAsia" w:hAnsi="宋体" w:cs="宋体"/>
          <w:color w:val="auto"/>
          <w:sz w:val="24"/>
          <w:highlight w:val="none"/>
        </w:rPr>
      </w:pPr>
      <w:r>
        <w:rPr>
          <w:rFonts w:hint="eastAsia" w:hAnsi="宋体" w:cs="宋体"/>
          <w:color w:val="auto"/>
          <w:sz w:val="24"/>
          <w:highlight w:val="none"/>
        </w:rPr>
        <w:t>14．计量单位</w:t>
      </w:r>
      <w:bookmarkEnd w:id="128"/>
      <w:bookmarkEnd w:id="129"/>
      <w:bookmarkEnd w:id="130"/>
      <w:r>
        <w:rPr>
          <w:rFonts w:hint="eastAsia" w:hAnsi="宋体" w:cs="宋体"/>
          <w:color w:val="auto"/>
          <w:sz w:val="24"/>
          <w:highlight w:val="none"/>
        </w:rPr>
        <w:t>（实质性要求）</w:t>
      </w:r>
    </w:p>
    <w:p w14:paraId="413ACB05">
      <w:pPr>
        <w:shd w:val="clear" w:color="auto" w:fill="auto"/>
        <w:spacing w:line="400" w:lineRule="exact"/>
        <w:ind w:firstLine="470" w:firstLineChars="196"/>
        <w:rPr>
          <w:rFonts w:hint="eastAsia" w:hAnsi="宋体" w:cs="宋体"/>
          <w:b/>
          <w:bCs/>
          <w:color w:val="auto"/>
          <w:sz w:val="24"/>
          <w:highlight w:val="none"/>
        </w:rPr>
      </w:pPr>
      <w:r>
        <w:rPr>
          <w:rFonts w:hint="eastAsia" w:hAnsi="宋体" w:cs="宋体"/>
          <w:color w:val="auto"/>
          <w:sz w:val="24"/>
          <w:highlight w:val="none"/>
        </w:rPr>
        <w:t>除磋商文件中另有规定外，本次采购项目所有合同项下的报价均采用国家法定的计量单位。</w:t>
      </w:r>
      <w:bookmarkStart w:id="131" w:name="_Toc217446045"/>
      <w:r>
        <w:rPr>
          <w:rFonts w:hint="eastAsia" w:hAnsi="宋体" w:cs="宋体"/>
          <w:color w:val="auto"/>
          <w:sz w:val="24"/>
          <w:highlight w:val="none"/>
        </w:rPr>
        <w:t xml:space="preserve"> </w:t>
      </w:r>
    </w:p>
    <w:p w14:paraId="716540A2">
      <w:pPr>
        <w:shd w:val="clear" w:color="auto" w:fill="auto"/>
        <w:spacing w:line="400" w:lineRule="exact"/>
        <w:ind w:firstLine="470" w:firstLineChars="195"/>
        <w:rPr>
          <w:rFonts w:hint="eastAsia" w:hAnsi="宋体" w:cs="宋体"/>
          <w:b/>
          <w:bCs/>
          <w:color w:val="auto"/>
          <w:sz w:val="24"/>
          <w:highlight w:val="none"/>
        </w:rPr>
      </w:pPr>
    </w:p>
    <w:p w14:paraId="3F986CC4">
      <w:pPr>
        <w:shd w:val="clear" w:color="auto" w:fill="auto"/>
        <w:spacing w:line="400" w:lineRule="exact"/>
        <w:ind w:firstLine="470" w:firstLineChars="195"/>
        <w:rPr>
          <w:rFonts w:hint="eastAsia" w:hAnsi="宋体" w:cs="宋体"/>
          <w:b/>
          <w:bCs/>
          <w:color w:val="auto"/>
          <w:sz w:val="24"/>
          <w:highlight w:val="none"/>
        </w:rPr>
      </w:pPr>
      <w:r>
        <w:rPr>
          <w:rFonts w:hint="eastAsia" w:hAnsi="宋体" w:cs="宋体"/>
          <w:b/>
          <w:bCs/>
          <w:color w:val="auto"/>
          <w:sz w:val="24"/>
          <w:highlight w:val="none"/>
        </w:rPr>
        <w:t xml:space="preserve">15. </w:t>
      </w:r>
      <w:r>
        <w:rPr>
          <w:rFonts w:hint="eastAsia" w:hAnsi="宋体" w:cs="宋体"/>
          <w:b/>
          <w:color w:val="auto"/>
          <w:sz w:val="24"/>
          <w:highlight w:val="none"/>
        </w:rPr>
        <w:t>报价</w:t>
      </w:r>
      <w:r>
        <w:rPr>
          <w:rFonts w:hint="eastAsia" w:hAnsi="宋体" w:cs="宋体"/>
          <w:b/>
          <w:bCs/>
          <w:color w:val="auto"/>
          <w:sz w:val="24"/>
          <w:highlight w:val="none"/>
        </w:rPr>
        <w:t>货币（实质性要求）</w:t>
      </w:r>
    </w:p>
    <w:p w14:paraId="14D75EAF">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本次磋商项目的</w:t>
      </w:r>
      <w:r>
        <w:rPr>
          <w:rFonts w:hint="eastAsia" w:hAnsi="宋体" w:cs="宋体"/>
          <w:color w:val="auto"/>
          <w:sz w:val="24"/>
          <w:highlight w:val="none"/>
        </w:rPr>
        <w:t>报价货币为</w:t>
      </w:r>
      <w:r>
        <w:rPr>
          <w:rFonts w:hint="eastAsia" w:hAnsi="宋体" w:cs="宋体"/>
          <w:bCs/>
          <w:color w:val="auto"/>
          <w:sz w:val="24"/>
          <w:highlight w:val="none"/>
        </w:rPr>
        <w:t>人民币，报价以磋商文件规定为准。</w:t>
      </w:r>
    </w:p>
    <w:p w14:paraId="0CC4EE48">
      <w:pPr>
        <w:shd w:val="clear" w:color="auto" w:fill="auto"/>
        <w:spacing w:line="400" w:lineRule="exact"/>
        <w:rPr>
          <w:rFonts w:hint="eastAsia" w:hAnsi="宋体" w:cs="宋体"/>
          <w:bCs/>
          <w:color w:val="auto"/>
          <w:sz w:val="24"/>
          <w:highlight w:val="none"/>
        </w:rPr>
      </w:pPr>
    </w:p>
    <w:bookmarkEnd w:id="131"/>
    <w:p w14:paraId="7BD32062">
      <w:pPr>
        <w:shd w:val="clear" w:color="auto" w:fill="auto"/>
        <w:spacing w:line="400" w:lineRule="exact"/>
        <w:ind w:left="3" w:leftChars="1" w:firstLine="482" w:firstLineChars="200"/>
        <w:rPr>
          <w:rFonts w:hint="eastAsia" w:hAnsi="宋体" w:cs="宋体"/>
          <w:b/>
          <w:bCs/>
          <w:color w:val="auto"/>
          <w:sz w:val="24"/>
          <w:highlight w:val="none"/>
        </w:rPr>
      </w:pPr>
      <w:r>
        <w:rPr>
          <w:rFonts w:hint="eastAsia" w:hAnsi="宋体" w:cs="宋体"/>
          <w:b/>
          <w:bCs/>
          <w:color w:val="auto"/>
          <w:sz w:val="24"/>
          <w:highlight w:val="none"/>
        </w:rPr>
        <w:t>16.响应文件格式</w:t>
      </w:r>
    </w:p>
    <w:p w14:paraId="1870EB9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16.1 供应商应执行磋商文件第八章的规定要求。</w:t>
      </w:r>
    </w:p>
    <w:p w14:paraId="74DB47A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16.2 对于没有格式要求的磋商文件由供应商自行编写。</w:t>
      </w:r>
    </w:p>
    <w:p w14:paraId="6D320AB4">
      <w:pPr>
        <w:shd w:val="clear" w:color="auto" w:fill="auto"/>
        <w:spacing w:line="400" w:lineRule="exact"/>
        <w:ind w:firstLine="470" w:firstLineChars="196"/>
        <w:rPr>
          <w:rFonts w:hint="eastAsia" w:hAnsi="宋体" w:cs="宋体"/>
          <w:color w:val="auto"/>
          <w:sz w:val="24"/>
          <w:highlight w:val="none"/>
        </w:rPr>
      </w:pPr>
      <w:bookmarkStart w:id="132" w:name="_Toc183582224"/>
      <w:bookmarkStart w:id="133" w:name="_Toc183682361"/>
      <w:bookmarkStart w:id="134" w:name="_Toc217446051"/>
    </w:p>
    <w:p w14:paraId="428A193B">
      <w:pPr>
        <w:shd w:val="clear" w:color="auto" w:fill="auto"/>
        <w:spacing w:line="400" w:lineRule="exact"/>
        <w:ind w:firstLine="472" w:firstLineChars="196"/>
        <w:rPr>
          <w:rFonts w:hint="eastAsia" w:hAnsi="宋体" w:cs="宋体"/>
          <w:b/>
          <w:color w:val="auto"/>
          <w:sz w:val="24"/>
          <w:highlight w:val="none"/>
        </w:rPr>
      </w:pPr>
      <w:r>
        <w:rPr>
          <w:rFonts w:hint="eastAsia" w:hAnsi="宋体" w:cs="宋体"/>
          <w:b/>
          <w:color w:val="auto"/>
          <w:sz w:val="24"/>
          <w:highlight w:val="none"/>
        </w:rPr>
        <w:t>17.响应文件的编制和签署</w:t>
      </w:r>
    </w:p>
    <w:bookmarkEnd w:id="132"/>
    <w:bookmarkEnd w:id="133"/>
    <w:bookmarkEnd w:id="134"/>
    <w:p w14:paraId="4DFB9A29">
      <w:pPr>
        <w:shd w:val="clear" w:color="auto" w:fill="auto"/>
        <w:spacing w:line="400" w:lineRule="exact"/>
        <w:ind w:firstLine="468" w:firstLineChars="195"/>
        <w:rPr>
          <w:rFonts w:hint="eastAsia" w:hAnsi="宋体" w:cs="宋体"/>
          <w:bCs/>
          <w:color w:val="auto"/>
          <w:sz w:val="24"/>
          <w:highlight w:val="none"/>
        </w:rPr>
      </w:pPr>
      <w:bookmarkStart w:id="135" w:name="_Toc183582226"/>
      <w:bookmarkStart w:id="136" w:name="_Toc89075877"/>
      <w:bookmarkStart w:id="137" w:name="_Toc77400781"/>
      <w:bookmarkStart w:id="138" w:name="_Toc183682363"/>
      <w:bookmarkStart w:id="139" w:name="_Toc217446053"/>
      <w:r>
        <w:rPr>
          <w:rFonts w:hint="eastAsia" w:hAnsi="宋体" w:cs="宋体"/>
          <w:color w:val="auto"/>
          <w:sz w:val="24"/>
          <w:highlight w:val="none"/>
        </w:rPr>
        <w:t xml:space="preserve">17.1 </w:t>
      </w:r>
      <w:r>
        <w:rPr>
          <w:rFonts w:hint="eastAsia" w:hAnsi="宋体" w:cs="宋体"/>
          <w:b/>
          <w:bCs/>
          <w:color w:val="auto"/>
          <w:sz w:val="24"/>
          <w:highlight w:val="none"/>
        </w:rPr>
        <w:t>（实质性要求）资格性响应文件</w:t>
      </w:r>
      <w:r>
        <w:rPr>
          <w:rFonts w:hint="eastAsia" w:hAnsi="宋体" w:cs="宋体"/>
          <w:color w:val="auto"/>
          <w:sz w:val="24"/>
          <w:highlight w:val="none"/>
        </w:rPr>
        <w:t>正本1份副本2份</w:t>
      </w:r>
      <w:r>
        <w:rPr>
          <w:rFonts w:hint="eastAsia" w:hAnsi="宋体" w:cs="宋体"/>
          <w:bCs/>
          <w:color w:val="auto"/>
          <w:sz w:val="24"/>
          <w:highlight w:val="none"/>
        </w:rPr>
        <w:t>，并在其封面上清楚地标明资格性响应文件、采购项目名称、采购项目编号、包件号及名称（若有）、供应商名称以及“正本”或“副本”字样。若正本和副本有不一致的内容，以正本书面响应文件为准。</w:t>
      </w:r>
    </w:p>
    <w:p w14:paraId="0E69BE11">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 xml:space="preserve">17.2 </w:t>
      </w:r>
      <w:r>
        <w:rPr>
          <w:rFonts w:hint="eastAsia" w:hAnsi="宋体" w:cs="宋体"/>
          <w:b/>
          <w:bCs/>
          <w:color w:val="auto"/>
          <w:sz w:val="24"/>
          <w:highlight w:val="none"/>
        </w:rPr>
        <w:t>（实质性要求）</w:t>
      </w:r>
      <w:r>
        <w:rPr>
          <w:rFonts w:hint="eastAsia" w:hAnsi="宋体" w:cs="宋体"/>
          <w:b/>
          <w:color w:val="auto"/>
          <w:sz w:val="24"/>
          <w:highlight w:val="none"/>
        </w:rPr>
        <w:t>其他响应文件</w:t>
      </w:r>
      <w:r>
        <w:rPr>
          <w:rFonts w:hint="eastAsia" w:hAnsi="宋体" w:cs="宋体"/>
          <w:bCs/>
          <w:color w:val="auto"/>
          <w:sz w:val="24"/>
          <w:highlight w:val="none"/>
        </w:rPr>
        <w:t>正本1份副本2份，并在其封面上清楚地标明其他响应文件、采购项目名称、采购项目编号、包件号及名称（若有）、供应商名称以及“正本”或“副本”字样。若正本和副本有不一致的内容，以正本书面响应文件为准。</w:t>
      </w:r>
    </w:p>
    <w:p w14:paraId="77BE9FF6">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17.3 响应文件正本和副本均需在规定签章处签字和盖章。响应文件副本可采用正本的复印件。</w:t>
      </w:r>
    </w:p>
    <w:p w14:paraId="35569E35">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17.4响应文件的打印和书写应清楚工整，任何行间插字、涂改或增删，必须由供应商的法定代表人或其授权代表签字并盖供应商公章。</w:t>
      </w:r>
    </w:p>
    <w:p w14:paraId="7909CF31">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17.5</w:t>
      </w:r>
      <w:r>
        <w:rPr>
          <w:rFonts w:hint="eastAsia" w:hAnsi="宋体" w:cs="宋体"/>
          <w:b/>
          <w:bCs/>
          <w:color w:val="auto"/>
          <w:sz w:val="24"/>
          <w:highlight w:val="none"/>
        </w:rPr>
        <w:t>（实质性要求）</w:t>
      </w:r>
      <w:r>
        <w:rPr>
          <w:rFonts w:hint="eastAsia" w:hAnsi="宋体" w:cs="宋体"/>
          <w:bCs/>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989AC31">
      <w:pPr>
        <w:shd w:val="clear" w:color="auto" w:fill="auto"/>
        <w:spacing w:line="400" w:lineRule="exact"/>
        <w:ind w:firstLine="468" w:firstLineChars="195"/>
        <w:rPr>
          <w:rFonts w:hint="eastAsia" w:hAnsi="宋体" w:cs="宋体"/>
          <w:bCs/>
          <w:color w:val="auto"/>
          <w:sz w:val="24"/>
          <w:highlight w:val="none"/>
        </w:rPr>
      </w:pPr>
      <w:r>
        <w:rPr>
          <w:rFonts w:hint="eastAsia" w:hAnsi="宋体" w:cs="宋体"/>
          <w:bCs/>
          <w:color w:val="auto"/>
          <w:sz w:val="24"/>
          <w:highlight w:val="none"/>
        </w:rPr>
        <w:t>17.6响应文件正本和副本需要逐页编目编码。</w:t>
      </w:r>
    </w:p>
    <w:p w14:paraId="03327F9C">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17.7响应文件正本和副本应当采用胶装方式装订成册，不得散装或者合页装订。</w:t>
      </w:r>
    </w:p>
    <w:p w14:paraId="4FE78E1A">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17.8响应文件应根据磋商文件的要求制作，签署、盖章。（按照《四川省采购评审工作规程（修订）》规范）</w:t>
      </w:r>
    </w:p>
    <w:p w14:paraId="6412A2D5">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17.9响应文件统一用A4幅面纸印制，除另有规定外。</w:t>
      </w:r>
    </w:p>
    <w:p w14:paraId="0AF1CE49">
      <w:pPr>
        <w:shd w:val="clear" w:color="auto" w:fill="auto"/>
        <w:tabs>
          <w:tab w:val="left" w:pos="1080"/>
        </w:tabs>
        <w:spacing w:line="400" w:lineRule="exact"/>
        <w:ind w:firstLine="463" w:firstLineChars="192"/>
        <w:rPr>
          <w:rFonts w:hint="eastAsia" w:hAnsi="宋体" w:cs="宋体"/>
          <w:b/>
          <w:color w:val="auto"/>
          <w:sz w:val="24"/>
          <w:highlight w:val="none"/>
        </w:rPr>
      </w:pPr>
    </w:p>
    <w:p w14:paraId="01D57184">
      <w:pPr>
        <w:shd w:val="clear" w:color="auto" w:fill="auto"/>
        <w:tabs>
          <w:tab w:val="left" w:pos="1080"/>
        </w:tabs>
        <w:spacing w:line="400" w:lineRule="exact"/>
        <w:ind w:firstLine="463" w:firstLineChars="192"/>
        <w:rPr>
          <w:rFonts w:hint="eastAsia" w:hAnsi="宋体" w:cs="宋体"/>
          <w:b/>
          <w:color w:val="auto"/>
          <w:sz w:val="24"/>
          <w:highlight w:val="none"/>
        </w:rPr>
      </w:pPr>
      <w:r>
        <w:rPr>
          <w:rFonts w:hint="eastAsia" w:hAnsi="宋体" w:cs="宋体"/>
          <w:b/>
          <w:color w:val="auto"/>
          <w:sz w:val="24"/>
          <w:highlight w:val="none"/>
        </w:rPr>
        <w:t>18.响应文件的密封和标注（不属于本项目磋商小组评审范畴，由采购人、采购代理机构在接收响应文件时及时处理）</w:t>
      </w:r>
    </w:p>
    <w:p w14:paraId="212AC779">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18.1 资格性响应文件和其他响应文件可以单独密封包装，也可以密封包装在一个密封袋内。</w:t>
      </w:r>
    </w:p>
    <w:p w14:paraId="376ED299">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18.2现场报价表在报价现场填写后密封提交，供应商须自行准备密封袋。</w:t>
      </w:r>
    </w:p>
    <w:p w14:paraId="6D1C4733">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w:t>
      </w:r>
      <w:r>
        <w:rPr>
          <w:rFonts w:hint="eastAsia" w:hAnsi="宋体" w:cs="宋体"/>
          <w:color w:val="auto"/>
          <w:sz w:val="24"/>
          <w:highlight w:val="none"/>
          <w:lang w:val="en-US" w:eastAsia="zh-CN"/>
        </w:rPr>
        <w:t>3</w:t>
      </w:r>
      <w:r>
        <w:rPr>
          <w:rFonts w:hint="eastAsia" w:hAnsi="宋体" w:cs="宋体"/>
          <w:color w:val="auto"/>
          <w:sz w:val="24"/>
          <w:highlight w:val="none"/>
        </w:rPr>
        <w:t xml:space="preserve"> 响应文件密封袋的最外层应清楚地标明采购项目名称、采购项目编号、包件号及名称（若有）、供应商名称。</w:t>
      </w:r>
    </w:p>
    <w:p w14:paraId="6557A826">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w:t>
      </w:r>
      <w:r>
        <w:rPr>
          <w:rFonts w:hint="eastAsia" w:hAnsi="宋体" w:cs="宋体"/>
          <w:color w:val="auto"/>
          <w:sz w:val="24"/>
          <w:highlight w:val="none"/>
          <w:lang w:val="en-US" w:eastAsia="zh-CN"/>
        </w:rPr>
        <w:t>4</w:t>
      </w:r>
      <w:r>
        <w:rPr>
          <w:rFonts w:hint="eastAsia" w:hAnsi="宋体" w:cs="宋体"/>
          <w:color w:val="auto"/>
          <w:sz w:val="24"/>
          <w:highlight w:val="none"/>
        </w:rPr>
        <w:t xml:space="preserve"> 所有外层密封袋的封口处应粘贴牢固并加盖供应商公章。</w:t>
      </w:r>
    </w:p>
    <w:p w14:paraId="6AF413B2">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18.</w:t>
      </w:r>
      <w:r>
        <w:rPr>
          <w:rFonts w:hint="eastAsia" w:hAnsi="宋体" w:cs="宋体"/>
          <w:color w:val="auto"/>
          <w:sz w:val="24"/>
          <w:highlight w:val="none"/>
          <w:lang w:val="en-US" w:eastAsia="zh-CN"/>
        </w:rPr>
        <w:t>5</w:t>
      </w:r>
      <w:r>
        <w:rPr>
          <w:rFonts w:hint="eastAsia" w:hAnsi="宋体" w:cs="宋体"/>
          <w:color w:val="auto"/>
          <w:sz w:val="24"/>
          <w:highlight w:val="none"/>
        </w:rPr>
        <w:t xml:space="preserve"> 未按以上要求进行密封和标注的响应文件，采购人、采购代理机构将拒收或者在时间允许的范围内，要求修改完善后接收。</w:t>
      </w:r>
    </w:p>
    <w:p w14:paraId="70A8B1B4">
      <w:pPr>
        <w:shd w:val="clear" w:color="auto" w:fill="auto"/>
        <w:tabs>
          <w:tab w:val="left" w:pos="1080"/>
        </w:tabs>
        <w:spacing w:line="400" w:lineRule="exact"/>
        <w:ind w:firstLine="460" w:firstLineChars="192"/>
        <w:rPr>
          <w:rFonts w:hint="eastAsia" w:hAnsi="宋体" w:cs="宋体"/>
          <w:color w:val="auto"/>
          <w:sz w:val="24"/>
          <w:highlight w:val="none"/>
        </w:rPr>
      </w:pPr>
    </w:p>
    <w:p w14:paraId="6C7B4050">
      <w:pPr>
        <w:shd w:val="clear" w:color="auto" w:fill="auto"/>
        <w:tabs>
          <w:tab w:val="left" w:pos="1080"/>
        </w:tabs>
        <w:spacing w:line="400" w:lineRule="exact"/>
        <w:ind w:firstLine="463" w:firstLineChars="192"/>
        <w:rPr>
          <w:rFonts w:hint="eastAsia" w:hAnsi="宋体" w:cs="宋体"/>
          <w:b/>
          <w:color w:val="auto"/>
          <w:sz w:val="24"/>
          <w:highlight w:val="none"/>
        </w:rPr>
      </w:pPr>
      <w:r>
        <w:rPr>
          <w:rFonts w:hint="eastAsia" w:hAnsi="宋体" w:cs="宋体"/>
          <w:b/>
          <w:color w:val="auto"/>
          <w:sz w:val="24"/>
          <w:highlight w:val="none"/>
        </w:rPr>
        <w:t>19.响应文件的递交</w:t>
      </w:r>
    </w:p>
    <w:p w14:paraId="0DD6E7B9">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19.1 资格性响应文件和其他响应文件应于递交响应文件截止时间前送达指定地点，采购代理机构拒绝接收截止时间后送达的响应文件。</w:t>
      </w:r>
    </w:p>
    <w:p w14:paraId="12AB83E8">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19.2 采购代理机构将向通过资格审查的供应商发出磋商邀请；告知未通过资格审查的供应商未通过的原因。</w:t>
      </w:r>
    </w:p>
    <w:p w14:paraId="5D884A1C">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19.3 报价表在磋商后，磋商小组要求供应商进行最后报价时递交。</w:t>
      </w:r>
    </w:p>
    <w:p w14:paraId="33E578E4">
      <w:pPr>
        <w:shd w:val="clear" w:color="auto" w:fill="auto"/>
        <w:tabs>
          <w:tab w:val="left" w:pos="1080"/>
        </w:tabs>
        <w:spacing w:line="400" w:lineRule="exact"/>
        <w:ind w:firstLine="460" w:firstLineChars="192"/>
        <w:rPr>
          <w:rFonts w:hint="eastAsia" w:hAnsi="宋体" w:cs="宋体"/>
          <w:color w:val="auto"/>
          <w:sz w:val="24"/>
          <w:highlight w:val="none"/>
        </w:rPr>
      </w:pPr>
      <w:r>
        <w:rPr>
          <w:rFonts w:hint="eastAsia" w:hAnsi="宋体" w:cs="宋体"/>
          <w:color w:val="auto"/>
          <w:sz w:val="24"/>
          <w:highlight w:val="none"/>
        </w:rPr>
        <w:t>19.4 本次采购不接收邮寄的响应文件。</w:t>
      </w:r>
    </w:p>
    <w:p w14:paraId="712FA20B">
      <w:pPr>
        <w:shd w:val="clear" w:color="auto" w:fill="auto"/>
        <w:tabs>
          <w:tab w:val="left" w:pos="1080"/>
        </w:tabs>
        <w:spacing w:line="400" w:lineRule="exact"/>
        <w:ind w:firstLine="460" w:firstLineChars="192"/>
        <w:rPr>
          <w:rFonts w:hint="eastAsia" w:hAnsi="宋体" w:cs="宋体"/>
          <w:color w:val="auto"/>
          <w:sz w:val="24"/>
          <w:highlight w:val="none"/>
        </w:rPr>
      </w:pPr>
    </w:p>
    <w:bookmarkEnd w:id="135"/>
    <w:bookmarkEnd w:id="136"/>
    <w:bookmarkEnd w:id="137"/>
    <w:bookmarkEnd w:id="138"/>
    <w:bookmarkEnd w:id="139"/>
    <w:p w14:paraId="6E30A671">
      <w:pPr>
        <w:shd w:val="clear" w:color="auto" w:fill="auto"/>
        <w:tabs>
          <w:tab w:val="left" w:pos="1080"/>
        </w:tabs>
        <w:spacing w:line="400" w:lineRule="exact"/>
        <w:ind w:firstLine="463" w:firstLineChars="192"/>
        <w:rPr>
          <w:rFonts w:hint="eastAsia" w:hAnsi="宋体" w:cs="宋体"/>
          <w:b/>
          <w:color w:val="auto"/>
          <w:sz w:val="24"/>
          <w:highlight w:val="none"/>
        </w:rPr>
      </w:pPr>
      <w:bookmarkStart w:id="140" w:name="_Toc183582228"/>
      <w:bookmarkStart w:id="141" w:name="_Toc217446055"/>
      <w:bookmarkStart w:id="142" w:name="_Toc183682365"/>
      <w:r>
        <w:rPr>
          <w:rFonts w:hint="eastAsia" w:hAnsi="宋体" w:cs="宋体"/>
          <w:b/>
          <w:color w:val="auto"/>
          <w:sz w:val="24"/>
          <w:highlight w:val="none"/>
        </w:rPr>
        <w:t>20.响应文件的修改和撤回（补充、修改响应文件的密封和标注按照本章“19.响应文件的密封和标注”规定处理）</w:t>
      </w:r>
    </w:p>
    <w:p w14:paraId="7BBA03FB">
      <w:pPr>
        <w:pStyle w:val="9"/>
        <w:shd w:val="clear" w:color="auto" w:fill="auto"/>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20.1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 </w:t>
      </w:r>
    </w:p>
    <w:p w14:paraId="11C25712">
      <w:pPr>
        <w:shd w:val="clear" w:color="auto" w:fill="auto"/>
        <w:adjustRightInd w:val="0"/>
        <w:snapToGrid w:val="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20.2供应商对响应文件修改的书面材料或撤回的通知应该按规定进行编写、密封、标注和递送，并注明“修改响应文件”字样。</w:t>
      </w:r>
    </w:p>
    <w:p w14:paraId="5AB216E6">
      <w:pPr>
        <w:shd w:val="clear" w:color="auto" w:fill="auto"/>
        <w:adjustRightInd w:val="0"/>
        <w:snapToGrid w:val="0"/>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20.3供应商不得在递交截止时间起至响应文件有效期期满前撤销其响应文件。</w:t>
      </w:r>
    </w:p>
    <w:p w14:paraId="5EE9B1D7">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20.4在递交响应文件截止时间之后，供应商不得对其响应文件进行任何修改，已经递交的响应文件采购人、采购代理机构可以不予退还。</w:t>
      </w:r>
    </w:p>
    <w:p w14:paraId="3D4FA2BE">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20.5 响应文件中报价如果出现下列不一致的，可按以下原则进行修改：</w:t>
      </w:r>
    </w:p>
    <w:p w14:paraId="66A19AF3">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（一）大写金额和小写金额不一致的，以大写金额为准，但大写金额文字存在错误的，应当先对大写金额的文字错误进行澄清、说明或者更正，再行修正。</w:t>
      </w:r>
    </w:p>
    <w:p w14:paraId="78B490AA">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79C3C1E">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（三）单价金额小数点或者百分比有明显错位的，以总价为准，修正单价。</w:t>
      </w:r>
    </w:p>
    <w:p w14:paraId="626F5BDB">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97717C2">
      <w:pPr>
        <w:shd w:val="clear" w:color="auto" w:fill="auto"/>
        <w:spacing w:line="400" w:lineRule="exact"/>
        <w:ind w:firstLine="480"/>
        <w:rPr>
          <w:rFonts w:hint="eastAsia" w:hAnsi="宋体" w:cs="宋体"/>
          <w:color w:val="auto"/>
          <w:sz w:val="24"/>
          <w:highlight w:val="none"/>
        </w:rPr>
      </w:pPr>
      <w:r>
        <w:rPr>
          <w:rFonts w:hint="eastAsia" w:hAnsi="宋体" w:cs="宋体"/>
          <w:color w:val="auto"/>
          <w:sz w:val="24"/>
          <w:highlight w:val="none"/>
        </w:rPr>
        <w:t>20.6供应商对其提交的响应文件的真实性、合法性承担法律责任。</w:t>
      </w:r>
      <w:bookmarkEnd w:id="140"/>
      <w:bookmarkEnd w:id="141"/>
      <w:bookmarkEnd w:id="142"/>
    </w:p>
    <w:p w14:paraId="6215E8E5">
      <w:pPr>
        <w:pStyle w:val="13"/>
        <w:numPr>
          <w:ilvl w:val="0"/>
          <w:numId w:val="0"/>
        </w:numPr>
        <w:shd w:val="clear" w:color="auto" w:fill="auto"/>
        <w:rPr>
          <w:rFonts w:hint="eastAsia" w:ascii="宋体" w:hAnsi="宋体" w:eastAsia="宋体" w:cs="宋体"/>
          <w:color w:val="auto"/>
          <w:sz w:val="24"/>
          <w:highlight w:val="none"/>
        </w:rPr>
      </w:pPr>
    </w:p>
    <w:p w14:paraId="4A19FA14">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43" w:name="_Toc13919"/>
      <w:bookmarkStart w:id="144" w:name="_Toc13000"/>
      <w:bookmarkStart w:id="145" w:name="_Toc6723"/>
      <w:bookmarkStart w:id="146" w:name="_Toc9968"/>
      <w:bookmarkStart w:id="147" w:name="_Toc5395"/>
      <w:bookmarkStart w:id="148" w:name="_Toc14439"/>
      <w:bookmarkStart w:id="149" w:name="_Toc5838"/>
      <w:bookmarkStart w:id="150" w:name="_Toc1956"/>
      <w:bookmarkStart w:id="151" w:name="_Toc4171"/>
      <w:bookmarkStart w:id="152" w:name="_Toc6485"/>
      <w:bookmarkStart w:id="153" w:name="_Toc16809"/>
      <w:bookmarkStart w:id="154" w:name="_Toc1476"/>
      <w:bookmarkStart w:id="155" w:name="_Toc14173"/>
      <w:bookmarkStart w:id="156" w:name="_Toc77400782"/>
      <w:bookmarkStart w:id="157" w:name="_Toc89075878"/>
      <w:bookmarkStart w:id="158" w:name="_Toc217446056"/>
      <w:bookmarkStart w:id="159" w:name="_Toc183582231"/>
      <w:bookmarkStart w:id="160" w:name="_Toc183682368"/>
      <w:r>
        <w:rPr>
          <w:rFonts w:hint="eastAsia" w:ascii="宋体" w:hAnsi="宋体" w:eastAsia="宋体" w:cs="宋体"/>
          <w:color w:val="auto"/>
          <w:highlight w:val="none"/>
        </w:rPr>
        <w:t>五、评审</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0361FE2C">
      <w:pPr>
        <w:shd w:val="clear" w:color="auto" w:fill="auto"/>
        <w:spacing w:before="260" w:after="260" w:line="400" w:lineRule="exact"/>
        <w:ind w:firstLine="480" w:firstLineChars="200"/>
        <w:rPr>
          <w:rFonts w:hint="eastAsia" w:hAnsi="宋体" w:cs="宋体"/>
          <w:color w:val="auto"/>
          <w:sz w:val="24"/>
          <w:highlight w:val="none"/>
        </w:rPr>
      </w:pPr>
      <w:r>
        <w:rPr>
          <w:rFonts w:hint="eastAsia" w:hAnsi="宋体" w:cs="宋体"/>
          <w:color w:val="auto"/>
          <w:sz w:val="24"/>
          <w:highlight w:val="none"/>
        </w:rPr>
        <w:t>21.磋商小组的组建及其评审工作按照有关法律制度和本文件第九章的规定进行。</w:t>
      </w:r>
    </w:p>
    <w:p w14:paraId="792D5916">
      <w:pPr>
        <w:keepNext w:val="0"/>
        <w:keepLines w:val="0"/>
        <w:shd w:val="clear" w:color="auto" w:fill="auto"/>
        <w:spacing w:before="0" w:after="0" w:line="400" w:lineRule="exact"/>
        <w:jc w:val="center"/>
        <w:outlineLvl w:val="9"/>
        <w:rPr>
          <w:rFonts w:hint="eastAsia" w:ascii="宋体" w:hAnsi="宋体" w:eastAsia="宋体" w:cs="宋体"/>
          <w:color w:val="auto"/>
          <w:highlight w:val="none"/>
        </w:rPr>
      </w:pPr>
    </w:p>
    <w:p w14:paraId="64C06232">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61" w:name="_Toc4627"/>
      <w:bookmarkStart w:id="162" w:name="_Toc215"/>
      <w:bookmarkStart w:id="163" w:name="_Toc18731"/>
      <w:bookmarkStart w:id="164" w:name="_Toc21100"/>
      <w:bookmarkStart w:id="165" w:name="_Toc23608"/>
      <w:bookmarkStart w:id="166" w:name="_Toc4579"/>
      <w:bookmarkStart w:id="167" w:name="_Toc304"/>
      <w:bookmarkStart w:id="168" w:name="_Toc21521"/>
      <w:bookmarkStart w:id="169" w:name="_Toc9604"/>
      <w:bookmarkStart w:id="170" w:name="_Toc30144"/>
      <w:bookmarkStart w:id="171" w:name="_Toc13970"/>
      <w:bookmarkStart w:id="172" w:name="_Toc20313"/>
      <w:bookmarkStart w:id="173" w:name="_Toc12753"/>
      <w:r>
        <w:rPr>
          <w:rFonts w:hint="eastAsia" w:ascii="宋体" w:hAnsi="宋体" w:eastAsia="宋体" w:cs="宋体"/>
          <w:color w:val="auto"/>
          <w:highlight w:val="none"/>
        </w:rPr>
        <w:t>六、成交事项</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2CA74065">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22.确定成交供应商</w:t>
      </w:r>
    </w:p>
    <w:p w14:paraId="6A41A00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采购人将按磋商小组推荐的成交候选供应商顺序确定成交供应商。</w:t>
      </w:r>
    </w:p>
    <w:p w14:paraId="289CDE2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22.1采购代理机构自评审结束后2个工作日内将磋商报告及有关资料送交采购人确定成交供应商。</w:t>
      </w:r>
    </w:p>
    <w:p w14:paraId="71C8D07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3BD40D8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22.3采购人确定成交供应商过程中，发现成交候选供应商有下列情形之一的，应当不予确定其为成交供应商：</w:t>
      </w:r>
    </w:p>
    <w:p w14:paraId="0F7CF7C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（1）发现成交候选供应商存在禁止参加本项目采购活动的违法行为的；</w:t>
      </w:r>
    </w:p>
    <w:p w14:paraId="0430162D">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（2）成交候选供应商因不可抗力，不能继续参加采购活动；</w:t>
      </w:r>
    </w:p>
    <w:p w14:paraId="3291524D">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（3）成交候选供应商无偿赠与或者低于成本价竞争；</w:t>
      </w:r>
    </w:p>
    <w:p w14:paraId="4F80E04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（4）成交候选供应商提供虚假材料；</w:t>
      </w:r>
    </w:p>
    <w:p w14:paraId="3BC2D15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（5）成交候选供应商恶意串通。</w:t>
      </w:r>
    </w:p>
    <w:p w14:paraId="03CCD1E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成交候选供应商有本条情形之一的，采购人可以确定后一位成交候选供应商为成交供应商，依次类推。无法确定成交供应商的，应当重新组织采购。</w:t>
      </w:r>
    </w:p>
    <w:p w14:paraId="48ADE660">
      <w:pPr>
        <w:shd w:val="clear" w:color="auto" w:fill="auto"/>
        <w:rPr>
          <w:rFonts w:hint="eastAsia" w:hAnsi="宋体" w:cs="宋体"/>
          <w:color w:val="auto"/>
          <w:highlight w:val="none"/>
        </w:rPr>
      </w:pPr>
    </w:p>
    <w:p w14:paraId="19DF85E4">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23.行贿犯罪记录处理</w:t>
      </w:r>
    </w:p>
    <w:p w14:paraId="14A49C4D">
      <w:pPr>
        <w:pStyle w:val="13"/>
        <w:numPr>
          <w:ilvl w:val="0"/>
          <w:numId w:val="0"/>
        </w:numPr>
        <w:shd w:val="clear" w:color="auto" w:fill="auto"/>
        <w:spacing w:before="154" w:line="358" w:lineRule="auto"/>
        <w:ind w:right="10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019CDB4A">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24.成交结果</w:t>
      </w:r>
    </w:p>
    <w:p w14:paraId="31DBC127">
      <w:pPr>
        <w:pStyle w:val="90"/>
        <w:shd w:val="clear" w:color="auto" w:fill="auto"/>
        <w:tabs>
          <w:tab w:val="left" w:pos="1133"/>
        </w:tabs>
        <w:spacing w:before="154" w:line="357" w:lineRule="auto"/>
        <w:ind w:left="680" w:leftChars="200" w:right="104" w:firstLine="0" w:firstLineChars="0"/>
        <w:jc w:val="left"/>
        <w:rPr>
          <w:rFonts w:hint="eastAsia" w:hAnsi="宋体" w:cs="宋体"/>
          <w:color w:val="auto"/>
          <w:sz w:val="24"/>
          <w:highlight w:val="none"/>
        </w:rPr>
      </w:pPr>
      <w:r>
        <w:rPr>
          <w:rFonts w:hint="eastAsia" w:hAnsi="宋体" w:cs="宋体"/>
          <w:color w:val="auto"/>
          <w:sz w:val="24"/>
          <w:highlight w:val="none"/>
        </w:rPr>
        <w:t>24.1供应商应当及时领取成交通知书。本项目需要交纳履约保证金的，成交供应商应当及时向采购人交纳。</w:t>
      </w:r>
    </w:p>
    <w:p w14:paraId="1D9EA443">
      <w:pPr>
        <w:pStyle w:val="90"/>
        <w:shd w:val="clear" w:color="auto" w:fill="auto"/>
        <w:tabs>
          <w:tab w:val="left" w:pos="1121"/>
        </w:tabs>
        <w:spacing w:before="36" w:line="357" w:lineRule="auto"/>
        <w:ind w:left="680" w:leftChars="200" w:right="104" w:firstLine="0" w:firstLineChars="0"/>
        <w:jc w:val="left"/>
        <w:rPr>
          <w:rFonts w:hint="eastAsia" w:hAnsi="宋体" w:cs="宋体"/>
          <w:color w:val="auto"/>
          <w:sz w:val="24"/>
          <w:highlight w:val="none"/>
        </w:rPr>
      </w:pPr>
      <w:r>
        <w:rPr>
          <w:rFonts w:hint="eastAsia" w:hAnsi="宋体" w:cs="宋体"/>
          <w:color w:val="auto"/>
          <w:sz w:val="24"/>
          <w:highlight w:val="none"/>
        </w:rPr>
        <w:t>24.2成交供应商不能及时领取成交通知书，采购人或者采购代理机应当通过邮寄、快递等方式将项目成交通知书送达成交供应商。</w:t>
      </w:r>
    </w:p>
    <w:p w14:paraId="2F17DB0A">
      <w:pPr>
        <w:shd w:val="clear" w:color="auto" w:fill="auto"/>
        <w:ind w:firstLine="465"/>
        <w:rPr>
          <w:rFonts w:hint="eastAsia" w:hAnsi="宋体" w:cs="宋体"/>
          <w:color w:val="auto"/>
          <w:sz w:val="24"/>
          <w:highlight w:val="none"/>
        </w:rPr>
      </w:pPr>
    </w:p>
    <w:p w14:paraId="3AE38EE7">
      <w:pPr>
        <w:shd w:val="clear" w:color="auto" w:fill="auto"/>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25.成交通知书</w:t>
      </w:r>
    </w:p>
    <w:p w14:paraId="5A62DF11">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25.1成交通知书为签订采购合同的依据之一，是合同的有效组成部分。</w:t>
      </w:r>
    </w:p>
    <w:p w14:paraId="42B79DA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25.2成交通知书对采购人和成交供应商均具有法律效力。成交通知书发出后，采购人无正当理由改变成交结果，或者成交供应商无正当理由放弃成交的，将承担相应的法律责任。</w:t>
      </w:r>
    </w:p>
    <w:p w14:paraId="44D21C2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25.3成交供应商的响应文件作为无效响应文件处理或者有采购法律法规规章制度规定的成交无效情形的，采购代理机构在取得有权主体的认定以后，有权宣布发出的成交通知书无效，并收回发出的成交通知书，依法重新确定成交供应商或者重新开展采购活动。</w:t>
      </w:r>
    </w:p>
    <w:p w14:paraId="4185D1FE">
      <w:pPr>
        <w:keepNext w:val="0"/>
        <w:keepLines w:val="0"/>
        <w:shd w:val="clear" w:color="auto" w:fill="auto"/>
        <w:spacing w:before="0" w:after="0" w:line="400" w:lineRule="exact"/>
        <w:jc w:val="center"/>
        <w:outlineLvl w:val="9"/>
        <w:rPr>
          <w:rFonts w:hint="eastAsia" w:ascii="宋体" w:hAnsi="宋体" w:eastAsia="宋体" w:cs="宋体"/>
          <w:color w:val="auto"/>
          <w:highlight w:val="none"/>
        </w:rPr>
      </w:pPr>
    </w:p>
    <w:p w14:paraId="0E10647E">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74" w:name="_Toc6714"/>
      <w:bookmarkStart w:id="175" w:name="_Toc9314"/>
      <w:bookmarkStart w:id="176" w:name="_Toc27125"/>
      <w:bookmarkStart w:id="177" w:name="_Toc19885"/>
      <w:bookmarkStart w:id="178" w:name="_Toc5689"/>
      <w:bookmarkStart w:id="179" w:name="_Toc11500"/>
      <w:bookmarkStart w:id="180" w:name="_Toc18487"/>
      <w:bookmarkStart w:id="181" w:name="_Toc14919"/>
      <w:bookmarkStart w:id="182" w:name="_Toc21340"/>
      <w:bookmarkStart w:id="183" w:name="_Toc29150"/>
      <w:bookmarkStart w:id="184" w:name="_Toc4903"/>
      <w:bookmarkStart w:id="185" w:name="_Toc22158"/>
      <w:bookmarkStart w:id="186" w:name="_Toc8705"/>
      <w:r>
        <w:rPr>
          <w:rFonts w:hint="eastAsia" w:ascii="宋体" w:hAnsi="宋体" w:eastAsia="宋体" w:cs="宋体"/>
          <w:color w:val="auto"/>
          <w:highlight w:val="none"/>
        </w:rPr>
        <w:t>七、合同事项</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12318BCE">
      <w:pPr>
        <w:keepNext w:val="0"/>
        <w:keepLines w:val="0"/>
        <w:shd w:val="clear" w:color="auto" w:fill="auto"/>
        <w:spacing w:before="0" w:after="0" w:line="400" w:lineRule="exact"/>
        <w:ind w:firstLine="470" w:firstLineChars="196"/>
        <w:outlineLvl w:val="9"/>
        <w:rPr>
          <w:rFonts w:hint="eastAsia" w:ascii="宋体" w:hAnsi="宋体" w:eastAsia="宋体" w:cs="宋体"/>
          <w:color w:val="auto"/>
          <w:sz w:val="24"/>
          <w:szCs w:val="24"/>
          <w:highlight w:val="none"/>
        </w:rPr>
      </w:pPr>
    </w:p>
    <w:p w14:paraId="666D2E3D">
      <w:pPr>
        <w:shd w:val="clear" w:color="auto" w:fill="auto"/>
        <w:spacing w:line="400" w:lineRule="exact"/>
        <w:ind w:firstLine="472" w:firstLineChars="196"/>
        <w:rPr>
          <w:rFonts w:hint="eastAsia" w:hAnsi="宋体" w:cs="宋体"/>
          <w:b/>
          <w:bCs/>
          <w:color w:val="auto"/>
          <w:sz w:val="24"/>
          <w:highlight w:val="none"/>
        </w:rPr>
      </w:pPr>
      <w:bookmarkStart w:id="187" w:name="_Toc101174151"/>
      <w:bookmarkStart w:id="188" w:name="_Toc101250646"/>
      <w:bookmarkStart w:id="189" w:name="_Toc101338364"/>
      <w:bookmarkStart w:id="190" w:name="_Toc430773927"/>
      <w:bookmarkStart w:id="191" w:name="_Toc209847069"/>
      <w:r>
        <w:rPr>
          <w:rFonts w:hint="eastAsia" w:hAnsi="宋体" w:cs="宋体"/>
          <w:b/>
          <w:bCs/>
          <w:color w:val="auto"/>
          <w:sz w:val="24"/>
          <w:highlight w:val="none"/>
        </w:rPr>
        <w:t>26.签订合同</w:t>
      </w:r>
      <w:bookmarkEnd w:id="187"/>
      <w:bookmarkEnd w:id="188"/>
      <w:bookmarkEnd w:id="189"/>
      <w:bookmarkEnd w:id="190"/>
      <w:bookmarkEnd w:id="191"/>
    </w:p>
    <w:p w14:paraId="38068AFD">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26.1 成交供应商应在成交通知书发出之日起三十日内与采购人签订采购合同。由于成交供应商的原因逾期未与采购人签订采购合同的，将视为放弃成交，取消其成交资格并将按相关规定进行处理。</w:t>
      </w:r>
    </w:p>
    <w:p w14:paraId="6E59E26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26.2 磋商文件、成交供应商的响应文件及双方确认的澄清文件等，均为有法律约束力的合同组成部分。</w:t>
      </w:r>
    </w:p>
    <w:p w14:paraId="591965E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4DD4BC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26.4 成交供应商因不可抗力原因不能履行采购合同或放弃成交的，采购人可以与排在成交供应商之后第一位的成交候选人签订采购合同，以此类推。</w:t>
      </w:r>
    </w:p>
    <w:p w14:paraId="3C63CBD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26.5竞争性磋商文件、成交供应商提交的响应文件、磋商中的最后报价、成交供应商承诺书、成交通知书等均称为有法律约束力的合同组成内容。</w:t>
      </w:r>
    </w:p>
    <w:p w14:paraId="7C2D7F04">
      <w:pPr>
        <w:shd w:val="clear" w:color="auto" w:fill="auto"/>
        <w:spacing w:line="400" w:lineRule="exact"/>
        <w:rPr>
          <w:rFonts w:hint="eastAsia" w:hAnsi="宋体" w:cs="宋体"/>
          <w:color w:val="auto"/>
          <w:sz w:val="24"/>
          <w:highlight w:val="none"/>
        </w:rPr>
      </w:pPr>
    </w:p>
    <w:p w14:paraId="02CE504F">
      <w:pPr>
        <w:shd w:val="clear" w:color="auto" w:fill="auto"/>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27.履约保证金</w:t>
      </w:r>
    </w:p>
    <w:p w14:paraId="61F5A071">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本项目不涉及。</w:t>
      </w:r>
    </w:p>
    <w:p w14:paraId="39BFF5B5">
      <w:pPr>
        <w:shd w:val="clear" w:color="auto" w:fill="auto"/>
        <w:spacing w:line="400" w:lineRule="exact"/>
        <w:rPr>
          <w:rFonts w:hint="eastAsia" w:hAnsi="宋体" w:cs="宋体"/>
          <w:color w:val="auto"/>
          <w:sz w:val="24"/>
          <w:highlight w:val="none"/>
        </w:rPr>
      </w:pPr>
    </w:p>
    <w:p w14:paraId="0176787B">
      <w:pPr>
        <w:shd w:val="clear" w:color="auto" w:fill="auto"/>
        <w:spacing w:line="400" w:lineRule="exact"/>
        <w:ind w:firstLine="482" w:firstLineChars="200"/>
        <w:rPr>
          <w:rFonts w:hint="eastAsia" w:hAnsi="宋体" w:cs="宋体"/>
          <w:b/>
          <w:color w:val="auto"/>
          <w:sz w:val="24"/>
          <w:highlight w:val="none"/>
        </w:rPr>
      </w:pPr>
      <w:r>
        <w:rPr>
          <w:rFonts w:hint="eastAsia" w:hAnsi="宋体" w:cs="宋体"/>
          <w:b/>
          <w:color w:val="auto"/>
          <w:sz w:val="24"/>
          <w:highlight w:val="none"/>
        </w:rPr>
        <w:t>28.履行合同</w:t>
      </w:r>
    </w:p>
    <w:p w14:paraId="09CA136C">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28.1 成交供应商与采购人签订合同后，合同双方应严格执行合同条款，履行合同规定的义务，保证合同的顺利完成。</w:t>
      </w:r>
    </w:p>
    <w:p w14:paraId="068A3C8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28.2 在合同履行过程中，如发生合同纠纷，合同双方应按照《中华人民共和国民法典》的有关规定进行处理。</w:t>
      </w:r>
    </w:p>
    <w:p w14:paraId="5EF76057">
      <w:pPr>
        <w:shd w:val="clear" w:color="auto" w:fill="auto"/>
        <w:spacing w:line="400" w:lineRule="exact"/>
        <w:rPr>
          <w:rFonts w:hint="eastAsia" w:hAnsi="宋体" w:cs="宋体"/>
          <w:color w:val="auto"/>
          <w:sz w:val="24"/>
          <w:highlight w:val="none"/>
        </w:rPr>
      </w:pPr>
    </w:p>
    <w:p w14:paraId="7E3D9EB7">
      <w:pPr>
        <w:shd w:val="clear" w:color="auto" w:fill="auto"/>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29.资金支付</w:t>
      </w:r>
    </w:p>
    <w:p w14:paraId="21239BC0">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详见磋商文件第五章。</w:t>
      </w:r>
    </w:p>
    <w:p w14:paraId="008B8B12">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192" w:name="_Toc11805"/>
      <w:bookmarkStart w:id="193" w:name="_Toc23849"/>
      <w:bookmarkStart w:id="194" w:name="_Toc10258"/>
      <w:bookmarkStart w:id="195" w:name="_Toc2650"/>
      <w:bookmarkStart w:id="196" w:name="_Toc1721"/>
      <w:bookmarkStart w:id="197" w:name="_Toc30479"/>
      <w:bookmarkStart w:id="198" w:name="_Toc7205"/>
      <w:bookmarkStart w:id="199" w:name="_Toc30466"/>
      <w:bookmarkStart w:id="200" w:name="_Toc16747"/>
      <w:bookmarkStart w:id="201" w:name="_Toc27605"/>
      <w:bookmarkStart w:id="202" w:name="_Toc5703"/>
      <w:bookmarkStart w:id="203" w:name="_Toc4467"/>
      <w:bookmarkStart w:id="204" w:name="_Toc15073"/>
      <w:r>
        <w:rPr>
          <w:rFonts w:hint="eastAsia" w:ascii="宋体" w:hAnsi="宋体" w:eastAsia="宋体" w:cs="宋体"/>
          <w:color w:val="auto"/>
          <w:highlight w:val="none"/>
        </w:rPr>
        <w:t>八、磋商纪律要求</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3FEDF137">
      <w:pPr>
        <w:shd w:val="clear" w:color="auto" w:fill="auto"/>
        <w:tabs>
          <w:tab w:val="left" w:pos="851"/>
        </w:tabs>
        <w:spacing w:line="360" w:lineRule="auto"/>
        <w:jc w:val="center"/>
        <w:rPr>
          <w:rFonts w:hint="eastAsia" w:hAnsi="宋体" w:cs="宋体"/>
          <w:color w:val="auto"/>
          <w:sz w:val="24"/>
          <w:highlight w:val="none"/>
        </w:rPr>
      </w:pPr>
    </w:p>
    <w:p w14:paraId="4523440A">
      <w:pPr>
        <w:shd w:val="clear" w:color="auto" w:fill="auto"/>
        <w:tabs>
          <w:tab w:val="left" w:pos="851"/>
        </w:tabs>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30.供应商不得具有的情形</w:t>
      </w:r>
    </w:p>
    <w:p w14:paraId="5A5B16D3">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供应商参加本项目磋商不得有下列情形：</w:t>
      </w:r>
    </w:p>
    <w:p w14:paraId="593F34EA">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（1）提供虚假材料谋取成交；</w:t>
      </w:r>
    </w:p>
    <w:p w14:paraId="3B5D8B43">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（2）采取不正当手段诋毁、排挤其他供应商；</w:t>
      </w:r>
    </w:p>
    <w:p w14:paraId="037895C5">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（3）与采购人、采购代理机构、或其他供应商恶意串通；</w:t>
      </w:r>
    </w:p>
    <w:p w14:paraId="332FFFE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（4）向采购人、采购代理机构、磋商小组成员行贿或者提供其他不正当利益；</w:t>
      </w:r>
    </w:p>
    <w:p w14:paraId="4EE7685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（5）在磋商过程中与采购人、采购代理机构进行协商；</w:t>
      </w:r>
    </w:p>
    <w:p w14:paraId="0D6040B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（6）成交后无正当理由拒不与采购人签订采购合同；</w:t>
      </w:r>
    </w:p>
    <w:p w14:paraId="5F719768">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（7）未按照磋商文件确定的事项签订采购合同；</w:t>
      </w:r>
    </w:p>
    <w:p w14:paraId="2B13EEC7">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（8）将采购合同转包或者违规分包；</w:t>
      </w:r>
    </w:p>
    <w:p w14:paraId="3BD2CDE5">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（9）提供假冒伪劣产品；</w:t>
      </w:r>
    </w:p>
    <w:p w14:paraId="4E6C4879">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（10）擅自变更、中止或者终止采购合同；</w:t>
      </w:r>
    </w:p>
    <w:p w14:paraId="43727062">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（11）拒绝有关部门的监督检查或者向监督检查部门提供虚假情况；</w:t>
      </w:r>
    </w:p>
    <w:p w14:paraId="1B34A326">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（12）法律法规规定的其他情形。</w:t>
      </w:r>
    </w:p>
    <w:p w14:paraId="66D9CEFC">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供应商有上述情形的，按照规定追究法律责任，具备（1）-（10）条情形之一的，同时将取消被确认为成交供应商的资格或者认定成交无效。</w:t>
      </w:r>
    </w:p>
    <w:p w14:paraId="5415E6B4">
      <w:pPr>
        <w:pStyle w:val="82"/>
        <w:shd w:val="clear" w:color="auto" w:fill="auto"/>
        <w:rPr>
          <w:rFonts w:hint="eastAsia" w:hAnsi="宋体"/>
          <w:color w:val="auto"/>
          <w:highlight w:val="none"/>
        </w:rPr>
      </w:pPr>
    </w:p>
    <w:p w14:paraId="21820111">
      <w:pPr>
        <w:pStyle w:val="3"/>
        <w:keepNext w:val="0"/>
        <w:keepLines w:val="0"/>
        <w:shd w:val="clear" w:color="auto" w:fill="auto"/>
        <w:spacing w:before="0" w:after="0" w:line="400" w:lineRule="exact"/>
        <w:jc w:val="center"/>
        <w:rPr>
          <w:rFonts w:hint="eastAsia" w:ascii="宋体" w:hAnsi="宋体" w:eastAsia="宋体" w:cs="宋体"/>
          <w:color w:val="auto"/>
          <w:highlight w:val="none"/>
        </w:rPr>
      </w:pPr>
      <w:bookmarkStart w:id="205" w:name="_Toc581"/>
      <w:bookmarkStart w:id="206" w:name="_Toc15191"/>
      <w:bookmarkStart w:id="207" w:name="_Toc25803"/>
      <w:bookmarkStart w:id="208" w:name="_Toc24608"/>
      <w:bookmarkStart w:id="209" w:name="_Toc16127"/>
      <w:bookmarkStart w:id="210" w:name="_Toc2350"/>
      <w:bookmarkStart w:id="211" w:name="_Toc31302"/>
      <w:bookmarkStart w:id="212" w:name="_Toc10166"/>
      <w:bookmarkStart w:id="213" w:name="_Toc11680"/>
      <w:bookmarkStart w:id="214" w:name="_Toc26675"/>
      <w:bookmarkStart w:id="215" w:name="_Toc6483"/>
      <w:bookmarkStart w:id="216" w:name="_Toc16785"/>
      <w:bookmarkStart w:id="217" w:name="_Toc21565"/>
      <w:bookmarkStart w:id="218" w:name="_Toc21183"/>
      <w:r>
        <w:rPr>
          <w:rFonts w:hint="eastAsia" w:ascii="宋体" w:hAnsi="宋体" w:eastAsia="宋体" w:cs="宋体"/>
          <w:color w:val="auto"/>
          <w:highlight w:val="none"/>
        </w:rPr>
        <w:t>九、其  他</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02C84FF">
      <w:pPr>
        <w:shd w:val="clear" w:color="auto" w:fill="auto"/>
        <w:tabs>
          <w:tab w:val="left" w:pos="851"/>
        </w:tabs>
        <w:spacing w:line="360" w:lineRule="auto"/>
        <w:ind w:firstLine="480" w:firstLineChars="200"/>
        <w:rPr>
          <w:rFonts w:hint="eastAsia" w:hAnsi="宋体" w:cs="宋体"/>
          <w:color w:val="auto"/>
          <w:sz w:val="24"/>
          <w:highlight w:val="none"/>
        </w:rPr>
      </w:pPr>
    </w:p>
    <w:p w14:paraId="0B19D923">
      <w:pPr>
        <w:shd w:val="clear" w:color="auto" w:fill="auto"/>
        <w:tabs>
          <w:tab w:val="left" w:pos="851"/>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31.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440C2497">
      <w:pPr>
        <w:shd w:val="clear" w:color="auto" w:fill="auto"/>
        <w:jc w:val="center"/>
        <w:outlineLvl w:val="0"/>
        <w:rPr>
          <w:rFonts w:hint="eastAsia" w:hAnsi="宋体" w:cs="宋体"/>
          <w:b/>
          <w:color w:val="auto"/>
          <w:sz w:val="32"/>
          <w:szCs w:val="32"/>
          <w:highlight w:val="none"/>
        </w:rPr>
      </w:pPr>
      <w:r>
        <w:rPr>
          <w:rFonts w:hint="eastAsia" w:hAnsi="宋体" w:cs="宋体"/>
          <w:b/>
          <w:color w:val="auto"/>
          <w:sz w:val="32"/>
          <w:szCs w:val="32"/>
          <w:highlight w:val="none"/>
        </w:rPr>
        <w:br w:type="page"/>
      </w:r>
      <w:bookmarkStart w:id="219" w:name="_Toc24989"/>
      <w:bookmarkStart w:id="220" w:name="_Toc24349"/>
      <w:bookmarkStart w:id="221" w:name="_Toc27893"/>
      <w:bookmarkStart w:id="222" w:name="_Toc26889"/>
      <w:bookmarkStart w:id="223" w:name="_Toc4492"/>
      <w:bookmarkStart w:id="224" w:name="_Toc19048"/>
      <w:bookmarkStart w:id="225" w:name="_Toc30947"/>
      <w:bookmarkStart w:id="226" w:name="_Toc9272"/>
      <w:bookmarkStart w:id="227" w:name="_Toc10739"/>
      <w:bookmarkStart w:id="228" w:name="_Toc23984"/>
      <w:bookmarkStart w:id="229" w:name="_Toc30729"/>
      <w:bookmarkStart w:id="230" w:name="_Toc28856"/>
      <w:bookmarkStart w:id="231" w:name="_Toc19853"/>
      <w:r>
        <w:rPr>
          <w:rFonts w:hint="eastAsia" w:hAnsi="宋体" w:cs="宋体"/>
          <w:b/>
          <w:color w:val="auto"/>
          <w:sz w:val="32"/>
          <w:szCs w:val="32"/>
          <w:highlight w:val="none"/>
        </w:rPr>
        <w:t>第三章  供应商资格条件要求</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639E2622">
      <w:pPr>
        <w:keepNext/>
        <w:keepLines/>
        <w:shd w:val="clear" w:color="auto" w:fill="auto"/>
        <w:spacing w:before="260" w:after="260" w:line="360" w:lineRule="exact"/>
        <w:outlineLvl w:val="1"/>
        <w:rPr>
          <w:rFonts w:hint="eastAsia" w:hAnsi="宋体" w:cs="宋体"/>
          <w:b/>
          <w:bCs/>
          <w:color w:val="auto"/>
          <w:sz w:val="24"/>
          <w:highlight w:val="none"/>
        </w:rPr>
      </w:pPr>
      <w:bookmarkStart w:id="232" w:name="_Toc26697"/>
      <w:bookmarkStart w:id="233" w:name="_Toc10701"/>
      <w:bookmarkStart w:id="234" w:name="_Toc4717"/>
      <w:bookmarkStart w:id="235" w:name="_Toc29243"/>
      <w:bookmarkStart w:id="236" w:name="_Toc19437"/>
      <w:bookmarkStart w:id="237" w:name="_Toc12654"/>
      <w:bookmarkStart w:id="238" w:name="_Toc17572"/>
      <w:bookmarkStart w:id="239" w:name="_Toc23859"/>
      <w:bookmarkStart w:id="240" w:name="_Toc560"/>
      <w:r>
        <w:rPr>
          <w:rFonts w:hint="eastAsia" w:hAnsi="宋体" w:cs="宋体"/>
          <w:b/>
          <w:bCs/>
          <w:color w:val="auto"/>
          <w:sz w:val="24"/>
          <w:highlight w:val="none"/>
        </w:rPr>
        <w:t>一、供应商资格、资质性要求</w:t>
      </w:r>
      <w:bookmarkEnd w:id="232"/>
      <w:bookmarkEnd w:id="233"/>
      <w:bookmarkEnd w:id="234"/>
      <w:r>
        <w:rPr>
          <w:rFonts w:hint="eastAsia" w:hAnsi="宋体" w:cs="宋体"/>
          <w:b/>
          <w:bCs/>
          <w:color w:val="auto"/>
          <w:sz w:val="24"/>
          <w:highlight w:val="none"/>
        </w:rPr>
        <w:t>：</w:t>
      </w:r>
      <w:bookmarkEnd w:id="235"/>
      <w:bookmarkEnd w:id="236"/>
      <w:bookmarkEnd w:id="237"/>
      <w:bookmarkEnd w:id="238"/>
      <w:bookmarkEnd w:id="239"/>
      <w:bookmarkEnd w:id="240"/>
      <w:bookmarkStart w:id="241" w:name="_Toc16778"/>
      <w:bookmarkStart w:id="242" w:name="_Toc18339"/>
      <w:bookmarkStart w:id="243" w:name="_Toc14411"/>
    </w:p>
    <w:p w14:paraId="0AF84B03">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1.具有独立承担民事责任的能力；</w:t>
      </w:r>
    </w:p>
    <w:p w14:paraId="6150AD55">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2.具有良好的商业信誉和健全的财务会计制度；</w:t>
      </w:r>
    </w:p>
    <w:p w14:paraId="2CEB6D43">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3.具有履行合同所必需的设备和专业技术能力；</w:t>
      </w:r>
    </w:p>
    <w:p w14:paraId="3D402D76">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4.具有依法缴纳税收和社会保障资金的良好记录；</w:t>
      </w:r>
    </w:p>
    <w:p w14:paraId="33735548">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5.参加采购活动的近三年内，在经营活动中没有重大违法记录；</w:t>
      </w:r>
    </w:p>
    <w:p w14:paraId="27D87C81">
      <w:pPr>
        <w:pStyle w:val="92"/>
        <w:shd w:val="clear" w:color="auto" w:fill="auto"/>
        <w:ind w:firstLine="480"/>
        <w:rPr>
          <w:rFonts w:hint="eastAsia" w:hAnsi="宋体" w:cs="宋体"/>
          <w:bCs/>
          <w:color w:val="auto"/>
          <w:sz w:val="24"/>
          <w:highlight w:val="none"/>
        </w:rPr>
      </w:pPr>
      <w:r>
        <w:rPr>
          <w:rFonts w:hint="eastAsia" w:hAnsi="宋体" w:cs="宋体"/>
          <w:color w:val="auto"/>
          <w:sz w:val="24"/>
          <w:highlight w:val="none"/>
        </w:rPr>
        <w:t>6.法律、行政法规规定的其他条件</w:t>
      </w:r>
      <w:r>
        <w:rPr>
          <w:rFonts w:hint="eastAsia" w:hAnsi="宋体" w:cs="宋体"/>
          <w:bCs/>
          <w:color w:val="auto"/>
          <w:sz w:val="24"/>
          <w:highlight w:val="none"/>
        </w:rPr>
        <w:t>；</w:t>
      </w:r>
    </w:p>
    <w:p w14:paraId="19C07A5D">
      <w:pPr>
        <w:pStyle w:val="92"/>
        <w:shd w:val="clear" w:color="auto" w:fill="auto"/>
        <w:ind w:firstLine="480"/>
        <w:rPr>
          <w:rFonts w:hint="eastAsia" w:hAnsi="宋体" w:cs="宋体"/>
          <w:color w:val="auto"/>
          <w:sz w:val="24"/>
          <w:highlight w:val="none"/>
        </w:rPr>
      </w:pPr>
      <w:r>
        <w:rPr>
          <w:rFonts w:hint="eastAsia" w:hAnsi="宋体" w:cs="宋体"/>
          <w:color w:val="auto"/>
          <w:sz w:val="24"/>
          <w:highlight w:val="none"/>
        </w:rPr>
        <w:t>7.根据采购项目提出的特殊条件：</w:t>
      </w:r>
    </w:p>
    <w:p w14:paraId="5CEBCD0B">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1参加本项目采购活动的供应商须为“四川省医疗保障信息大数据一体化平台药品和医用耗材招采管理子系统（招采子系统）”中的配送单位。</w:t>
      </w:r>
    </w:p>
    <w:p w14:paraId="780FAD6B">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.2所响应产品需为医用耗材招采管理子系统挂网产品。</w:t>
      </w:r>
    </w:p>
    <w:p w14:paraId="4EE9FD4B">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.3制造商参加投标的，提供制造商《医疗器械生产企业许可证》、投标产品《医疗器械注册证》或备案资料复印件</w:t>
      </w:r>
    </w:p>
    <w:p w14:paraId="7C94680A">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.4经销商参加投标的提供《医疗器械经营企业许可证》、投标产品《医疗器械注册证》或备案资料复印件。</w:t>
      </w:r>
    </w:p>
    <w:p w14:paraId="6EA8054A">
      <w:pPr>
        <w:pStyle w:val="92"/>
        <w:shd w:val="clear" w:color="auto" w:fill="auto"/>
        <w:spacing w:line="440" w:lineRule="exact"/>
        <w:ind w:firstLine="482"/>
        <w:rPr>
          <w:rFonts w:hint="eastAsia" w:hAnsi="宋体" w:cs="宋体"/>
          <w:color w:val="auto"/>
          <w:highlight w:val="none"/>
        </w:rPr>
      </w:pPr>
      <w:r>
        <w:rPr>
          <w:rFonts w:hint="eastAsia" w:hAnsi="宋体" w:cs="宋体"/>
          <w:b/>
          <w:bCs/>
          <w:color w:val="auto"/>
          <w:sz w:val="24"/>
          <w:highlight w:val="none"/>
        </w:rPr>
        <w:t>（二）本项目不允许联合体参与采购活动。</w:t>
      </w:r>
      <w:bookmarkEnd w:id="241"/>
      <w:bookmarkEnd w:id="242"/>
      <w:bookmarkEnd w:id="243"/>
    </w:p>
    <w:p w14:paraId="3E9B08C0">
      <w:pPr>
        <w:keepNext/>
        <w:keepLines/>
        <w:shd w:val="clear" w:color="auto" w:fill="auto"/>
        <w:spacing w:before="260" w:after="260"/>
        <w:jc w:val="left"/>
        <w:outlineLvl w:val="1"/>
        <w:rPr>
          <w:rFonts w:hint="eastAsia" w:hAnsi="宋体" w:cs="宋体"/>
          <w:b/>
          <w:bCs/>
          <w:color w:val="auto"/>
          <w:sz w:val="24"/>
          <w:highlight w:val="none"/>
        </w:rPr>
      </w:pPr>
      <w:bookmarkStart w:id="244" w:name="_Toc26735"/>
      <w:bookmarkStart w:id="245" w:name="_Toc13566"/>
      <w:bookmarkStart w:id="246" w:name="_Toc31709"/>
      <w:bookmarkStart w:id="247" w:name="_Toc12851"/>
      <w:bookmarkStart w:id="248" w:name="_Toc27345"/>
      <w:bookmarkStart w:id="249" w:name="_Toc22091"/>
      <w:r>
        <w:rPr>
          <w:rFonts w:hint="eastAsia" w:hAnsi="宋体" w:cs="宋体"/>
          <w:b/>
          <w:bCs/>
          <w:color w:val="auto"/>
          <w:sz w:val="24"/>
          <w:highlight w:val="none"/>
        </w:rPr>
        <w:t>二、供应商其他类似效力要求：</w:t>
      </w:r>
      <w:r>
        <w:rPr>
          <w:rFonts w:hint="eastAsia" w:hAnsi="宋体" w:cs="宋体"/>
          <w:color w:val="auto"/>
          <w:sz w:val="24"/>
          <w:highlight w:val="none"/>
        </w:rPr>
        <w:t>详见第四章。</w:t>
      </w:r>
      <w:bookmarkEnd w:id="244"/>
      <w:bookmarkEnd w:id="245"/>
      <w:bookmarkEnd w:id="246"/>
      <w:bookmarkEnd w:id="247"/>
      <w:bookmarkEnd w:id="248"/>
      <w:bookmarkEnd w:id="249"/>
    </w:p>
    <w:p w14:paraId="275523EA">
      <w:pPr>
        <w:shd w:val="clear" w:color="auto" w:fill="auto"/>
        <w:spacing w:line="360" w:lineRule="auto"/>
        <w:ind w:firstLine="643" w:firstLineChars="200"/>
        <w:jc w:val="center"/>
        <w:outlineLvl w:val="0"/>
        <w:rPr>
          <w:rFonts w:hint="eastAsia" w:hAnsi="宋体" w:cs="宋体"/>
          <w:color w:val="auto"/>
          <w:sz w:val="28"/>
          <w:szCs w:val="28"/>
          <w:highlight w:val="none"/>
        </w:rPr>
      </w:pPr>
      <w:r>
        <w:rPr>
          <w:rFonts w:hint="eastAsia" w:hAnsi="宋体" w:cs="宋体"/>
          <w:b/>
          <w:color w:val="auto"/>
          <w:sz w:val="32"/>
          <w:szCs w:val="32"/>
          <w:highlight w:val="none"/>
        </w:rPr>
        <w:br w:type="page"/>
      </w:r>
      <w:bookmarkStart w:id="250" w:name="_Toc17947"/>
      <w:bookmarkStart w:id="251" w:name="_Toc27874"/>
      <w:bookmarkStart w:id="252" w:name="_Toc28612"/>
      <w:bookmarkStart w:id="253" w:name="_Toc26740"/>
      <w:bookmarkStart w:id="254" w:name="_Toc15613"/>
      <w:bookmarkStart w:id="255" w:name="_Toc11692"/>
      <w:bookmarkStart w:id="256" w:name="_Toc16237"/>
      <w:bookmarkStart w:id="257" w:name="_Toc19991"/>
      <w:bookmarkStart w:id="258" w:name="_Toc13559"/>
      <w:bookmarkStart w:id="259" w:name="_Toc20727"/>
      <w:bookmarkStart w:id="260" w:name="_Toc12166"/>
      <w:bookmarkStart w:id="261" w:name="_Toc25363"/>
      <w:bookmarkStart w:id="262" w:name="_Toc28492"/>
      <w:r>
        <w:rPr>
          <w:rFonts w:hint="eastAsia" w:hAnsi="宋体" w:cs="宋体"/>
          <w:b/>
          <w:color w:val="auto"/>
          <w:sz w:val="32"/>
          <w:szCs w:val="32"/>
          <w:highlight w:val="none"/>
        </w:rPr>
        <w:t>第四章  供应商资格证明材料</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02DBE2D">
      <w:pPr>
        <w:shd w:val="clear" w:color="auto" w:fill="auto"/>
        <w:spacing w:line="360" w:lineRule="auto"/>
        <w:ind w:firstLine="241" w:firstLineChars="100"/>
        <w:outlineLvl w:val="1"/>
        <w:rPr>
          <w:rFonts w:hint="eastAsia" w:hAnsi="宋体" w:cs="宋体"/>
          <w:b/>
          <w:bCs/>
          <w:color w:val="auto"/>
          <w:sz w:val="24"/>
          <w:highlight w:val="none"/>
        </w:rPr>
      </w:pPr>
      <w:bookmarkStart w:id="263" w:name="_Toc8919"/>
      <w:bookmarkStart w:id="264" w:name="_Toc8868"/>
      <w:bookmarkStart w:id="265" w:name="_Toc13650"/>
      <w:bookmarkStart w:id="266" w:name="_Toc5884"/>
      <w:bookmarkStart w:id="267" w:name="_Toc1735"/>
      <w:bookmarkStart w:id="268" w:name="_Toc11436"/>
      <w:bookmarkStart w:id="269" w:name="_Toc28159"/>
      <w:bookmarkStart w:id="270" w:name="_Toc10010"/>
      <w:bookmarkStart w:id="271" w:name="_Toc8970"/>
      <w:r>
        <w:rPr>
          <w:rFonts w:hint="eastAsia" w:hAnsi="宋体" w:cs="宋体"/>
          <w:b/>
          <w:bCs/>
          <w:color w:val="auto"/>
          <w:sz w:val="24"/>
          <w:highlight w:val="none"/>
        </w:rPr>
        <w:t>一、供应商应提交的资格证明材料</w:t>
      </w:r>
      <w:bookmarkEnd w:id="263"/>
      <w:bookmarkEnd w:id="264"/>
      <w:bookmarkEnd w:id="265"/>
      <w:bookmarkEnd w:id="266"/>
      <w:bookmarkEnd w:id="267"/>
      <w:bookmarkEnd w:id="268"/>
      <w:bookmarkEnd w:id="269"/>
      <w:bookmarkEnd w:id="270"/>
      <w:bookmarkEnd w:id="271"/>
    </w:p>
    <w:p w14:paraId="1BD2F645">
      <w:pPr>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1、具有独立承担民事责任的能力</w:t>
      </w:r>
      <w:r>
        <w:rPr>
          <w:rFonts w:hint="eastAsia" w:hAnsi="宋体" w:cs="宋体"/>
          <w:b/>
          <w:bCs/>
          <w:color w:val="auto"/>
          <w:sz w:val="24"/>
          <w:highlight w:val="none"/>
        </w:rPr>
        <w:t>（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w:t>
      </w:r>
      <w:r>
        <w:rPr>
          <w:rFonts w:hint="eastAsia" w:hAnsi="宋体" w:cs="宋体"/>
          <w:b/>
          <w:bCs/>
          <w:sz w:val="24"/>
        </w:rPr>
        <w:t>（以上4项材料任选其一即可，均提供复印件）</w:t>
      </w:r>
      <w:r>
        <w:rPr>
          <w:rFonts w:hint="eastAsia" w:hAnsi="宋体" w:cs="宋体"/>
          <w:b/>
          <w:color w:val="auto"/>
          <w:sz w:val="24"/>
          <w:highlight w:val="none"/>
        </w:rPr>
        <w:t>；</w:t>
      </w:r>
    </w:p>
    <w:p w14:paraId="74E7C108">
      <w:pPr>
        <w:tabs>
          <w:tab w:val="left" w:pos="7665"/>
        </w:tabs>
        <w:spacing w:line="360" w:lineRule="auto"/>
        <w:ind w:firstLine="480" w:firstLineChars="200"/>
        <w:rPr>
          <w:rFonts w:hint="eastAsia" w:hAnsi="宋体" w:cs="宋体"/>
          <w:b/>
          <w:color w:val="auto"/>
          <w:sz w:val="24"/>
          <w:highlight w:val="none"/>
        </w:rPr>
      </w:pPr>
      <w:r>
        <w:rPr>
          <w:rFonts w:hint="eastAsia" w:hAnsi="宋体" w:cs="宋体"/>
          <w:color w:val="auto"/>
          <w:sz w:val="24"/>
          <w:highlight w:val="none"/>
        </w:rPr>
        <w:t>2、具有良好的商业信誉和健全的财务会计制度：</w:t>
      </w:r>
      <w:r>
        <w:rPr>
          <w:rFonts w:hint="eastAsia" w:hAnsi="宋体" w:cs="宋体"/>
          <w:b/>
          <w:color w:val="auto"/>
          <w:sz w:val="24"/>
          <w:highlight w:val="none"/>
        </w:rPr>
        <w:t>〔①具有商业信誉证明材料：可提供书面承诺函；②健全的财务会计制度证明材料：</w:t>
      </w:r>
      <w:r>
        <w:rPr>
          <w:rFonts w:hint="eastAsia" w:hAnsi="宋体" w:cs="宋体"/>
          <w:b/>
          <w:bCs/>
          <w:color w:val="auto"/>
          <w:sz w:val="24"/>
          <w:highlight w:val="none"/>
        </w:rPr>
        <w:t>①可提供202</w:t>
      </w:r>
      <w:r>
        <w:rPr>
          <w:rFonts w:hint="eastAsia" w:hAnsi="宋体" w:cs="宋体"/>
          <w:b/>
          <w:bCs/>
          <w:color w:val="auto"/>
          <w:sz w:val="24"/>
          <w:highlight w:val="none"/>
          <w:lang w:val="en-US" w:eastAsia="zh-CN"/>
        </w:rPr>
        <w:t>2</w:t>
      </w:r>
      <w:r>
        <w:rPr>
          <w:rFonts w:hint="eastAsia" w:hAnsi="宋体" w:cs="宋体"/>
          <w:b/>
          <w:bCs/>
          <w:color w:val="auto"/>
          <w:sz w:val="24"/>
          <w:highlight w:val="none"/>
        </w:rPr>
        <w:t>-202</w:t>
      </w:r>
      <w:r>
        <w:rPr>
          <w:rFonts w:hint="eastAsia" w:hAnsi="宋体" w:cs="宋体"/>
          <w:b/>
          <w:bCs/>
          <w:color w:val="auto"/>
          <w:sz w:val="24"/>
          <w:highlight w:val="none"/>
          <w:lang w:val="en-US" w:eastAsia="zh-CN"/>
        </w:rPr>
        <w:t>4</w:t>
      </w:r>
      <w:r>
        <w:rPr>
          <w:rFonts w:hint="eastAsia" w:hAnsi="宋体" w:cs="宋体"/>
          <w:b/>
          <w:bCs/>
          <w:color w:val="auto"/>
          <w:sz w:val="24"/>
          <w:highlight w:val="none"/>
        </w:rPr>
        <w:t>任意一年度经审计的财务报告复印件（包含审计报告和审计报告中所涉及的财务报表和报表附注），②可提供202</w:t>
      </w:r>
      <w:r>
        <w:rPr>
          <w:rFonts w:hint="eastAsia" w:hAnsi="宋体" w:cs="宋体"/>
          <w:b/>
          <w:bCs/>
          <w:color w:val="auto"/>
          <w:sz w:val="24"/>
          <w:highlight w:val="none"/>
          <w:lang w:val="en-US" w:eastAsia="zh-CN"/>
        </w:rPr>
        <w:t>2</w:t>
      </w:r>
      <w:r>
        <w:rPr>
          <w:rFonts w:hint="eastAsia" w:hAnsi="宋体" w:cs="宋体"/>
          <w:b/>
          <w:bCs/>
          <w:color w:val="auto"/>
          <w:sz w:val="24"/>
          <w:highlight w:val="none"/>
        </w:rPr>
        <w:t>-202</w:t>
      </w:r>
      <w:r>
        <w:rPr>
          <w:rFonts w:hint="eastAsia" w:hAnsi="宋体" w:cs="宋体"/>
          <w:b/>
          <w:bCs/>
          <w:color w:val="auto"/>
          <w:sz w:val="24"/>
          <w:highlight w:val="none"/>
          <w:lang w:val="en-US" w:eastAsia="zh-CN"/>
        </w:rPr>
        <w:t>4</w:t>
      </w:r>
      <w:r>
        <w:rPr>
          <w:rFonts w:hint="eastAsia" w:hAnsi="宋体" w:cs="宋体"/>
          <w:b/>
          <w:bCs/>
          <w:color w:val="auto"/>
          <w:sz w:val="24"/>
          <w:highlight w:val="none"/>
        </w:rPr>
        <w:t>任意一年度供应商完整的全套财务报表（至少包含资产负债表、利润表、现金流量表）复印件，③可提供截至响应文件递交截止日一年内银行出具的资信证明（复印件），④供应商注册时间截至响应文件递交截止日不足一年的，也可提供在工商备案的公司章程（复印件）；⑤也可提供具备健全财务制度的承诺函。</w:t>
      </w:r>
      <w:r>
        <w:rPr>
          <w:rFonts w:hint="eastAsia" w:hAnsi="宋体" w:cs="宋体"/>
          <w:b/>
          <w:color w:val="auto"/>
          <w:sz w:val="24"/>
          <w:highlight w:val="none"/>
        </w:rPr>
        <w:t>〕；</w:t>
      </w:r>
      <w:r>
        <w:rPr>
          <w:rFonts w:hint="eastAsia" w:hAnsi="宋体" w:cs="宋体"/>
          <w:b/>
          <w:bCs/>
          <w:sz w:val="24"/>
        </w:rPr>
        <w:t>（以上5项材料任选其一即可，均提供复印件。）</w:t>
      </w:r>
    </w:p>
    <w:p w14:paraId="4CA44099">
      <w:pPr>
        <w:shd w:val="clear" w:color="auto" w:fill="auto"/>
        <w:tabs>
          <w:tab w:val="left" w:pos="7665"/>
        </w:tabs>
        <w:spacing w:line="360" w:lineRule="auto"/>
        <w:ind w:firstLine="480" w:firstLineChars="200"/>
        <w:rPr>
          <w:rFonts w:hint="eastAsia" w:hAnsi="宋体" w:cs="宋体"/>
          <w:b/>
          <w:bCs/>
          <w:color w:val="auto"/>
          <w:sz w:val="24"/>
          <w:highlight w:val="none"/>
        </w:rPr>
      </w:pPr>
      <w:r>
        <w:rPr>
          <w:rFonts w:hint="eastAsia" w:hAnsi="宋体" w:cs="宋体"/>
          <w:color w:val="auto"/>
          <w:sz w:val="24"/>
          <w:highlight w:val="none"/>
        </w:rPr>
        <w:t>3、具有履行合同所必须的设备和专业技术能力</w:t>
      </w:r>
      <w:r>
        <w:rPr>
          <w:rFonts w:hint="eastAsia" w:hAnsi="宋体" w:cs="宋体"/>
          <w:b/>
          <w:bCs/>
          <w:color w:val="auto"/>
          <w:sz w:val="24"/>
          <w:highlight w:val="none"/>
        </w:rPr>
        <w:t>（供应商提供公司能力情况说明或同等效力的其他证明材料或声明函）；</w:t>
      </w:r>
    </w:p>
    <w:p w14:paraId="53292D0B">
      <w:pPr>
        <w:widowControl/>
        <w:adjustRightInd w:val="0"/>
        <w:snapToGrid w:val="0"/>
        <w:spacing w:line="360" w:lineRule="auto"/>
        <w:ind w:firstLine="480" w:firstLineChars="200"/>
        <w:jc w:val="left"/>
        <w:rPr>
          <w:rFonts w:hint="eastAsia" w:hAnsi="宋体" w:cs="宋体"/>
          <w:b/>
          <w:color w:val="auto"/>
          <w:sz w:val="24"/>
          <w:highlight w:val="none"/>
        </w:rPr>
      </w:pPr>
      <w:r>
        <w:rPr>
          <w:rFonts w:hint="eastAsia" w:hAnsi="宋体" w:cs="宋体"/>
          <w:color w:val="auto"/>
          <w:sz w:val="24"/>
          <w:highlight w:val="none"/>
        </w:rPr>
        <w:t>4、具有依法缴纳税收和社会保障资金的良好记录</w:t>
      </w:r>
      <w:r>
        <w:rPr>
          <w:rFonts w:hint="eastAsia" w:hAnsi="宋体" w:cs="宋体"/>
          <w:b/>
          <w:bCs/>
          <w:color w:val="auto"/>
          <w:sz w:val="24"/>
          <w:highlight w:val="none"/>
        </w:rPr>
        <w:t>〔①提供供应商202</w:t>
      </w:r>
      <w:r>
        <w:rPr>
          <w:rFonts w:hint="eastAsia" w:hAnsi="宋体" w:cs="宋体"/>
          <w:b/>
          <w:bCs/>
          <w:color w:val="auto"/>
          <w:sz w:val="24"/>
          <w:highlight w:val="none"/>
          <w:lang w:val="en-US" w:eastAsia="zh-CN"/>
        </w:rPr>
        <w:t>4</w:t>
      </w:r>
      <w:r>
        <w:rPr>
          <w:rFonts w:hint="eastAsia" w:hAnsi="宋体" w:cs="宋体"/>
          <w:b/>
          <w:bCs/>
          <w:color w:val="auto"/>
          <w:sz w:val="24"/>
          <w:highlight w:val="none"/>
        </w:rPr>
        <w:t>年</w:t>
      </w:r>
      <w:r>
        <w:rPr>
          <w:rFonts w:hint="eastAsia" w:hAnsi="宋体" w:cs="宋体"/>
          <w:b/>
          <w:bCs/>
          <w:color w:val="auto"/>
          <w:sz w:val="24"/>
          <w:highlight w:val="none"/>
          <w:lang w:val="en-US" w:eastAsia="zh-CN"/>
        </w:rPr>
        <w:t>6</w:t>
      </w:r>
      <w:r>
        <w:rPr>
          <w:rFonts w:hint="eastAsia" w:hAnsi="宋体" w:cs="宋体"/>
          <w:b/>
          <w:bCs/>
          <w:color w:val="auto"/>
          <w:sz w:val="24"/>
          <w:highlight w:val="none"/>
        </w:rPr>
        <w:t>月以来任意1个月依法缴纳税收和社会保障资金的证明材料或相关同等效力的证明材料）；② 202</w:t>
      </w:r>
      <w:r>
        <w:rPr>
          <w:rFonts w:hint="eastAsia" w:hAnsi="宋体" w:cs="宋体"/>
          <w:b/>
          <w:bCs/>
          <w:color w:val="auto"/>
          <w:sz w:val="24"/>
          <w:highlight w:val="none"/>
          <w:lang w:val="en-US" w:eastAsia="zh-CN"/>
        </w:rPr>
        <w:t>5</w:t>
      </w:r>
      <w:r>
        <w:rPr>
          <w:rFonts w:hint="eastAsia" w:hAnsi="宋体" w:cs="宋体"/>
          <w:b/>
          <w:bCs/>
          <w:color w:val="auto"/>
          <w:sz w:val="24"/>
          <w:highlight w:val="none"/>
        </w:rPr>
        <w:t>年以来注册的公司可提供书面承诺函；③依法免税或不需要缴纳社会保障资金的供应商，应提供相应文件证明其依法免税或不需要缴纳社会保障资金；④也可提供具有依法缴纳税收和社会保障资金的良好记录的承诺函。〕；</w:t>
      </w:r>
      <w:r>
        <w:rPr>
          <w:rFonts w:hint="eastAsia" w:hAnsi="宋体" w:cs="宋体"/>
          <w:b/>
          <w:bCs/>
          <w:sz w:val="24"/>
        </w:rPr>
        <w:t>（以上</w:t>
      </w:r>
      <w:r>
        <w:rPr>
          <w:rFonts w:hint="eastAsia" w:hAnsi="宋体" w:cs="宋体"/>
          <w:b/>
          <w:bCs/>
          <w:sz w:val="24"/>
          <w:lang w:val="en-US" w:eastAsia="zh-CN"/>
        </w:rPr>
        <w:t>4</w:t>
      </w:r>
      <w:r>
        <w:rPr>
          <w:rFonts w:hint="eastAsia" w:hAnsi="宋体" w:cs="宋体"/>
          <w:b/>
          <w:bCs/>
          <w:sz w:val="24"/>
        </w:rPr>
        <w:t>项材料任选其一即可，均提供复印件。）</w:t>
      </w:r>
    </w:p>
    <w:p w14:paraId="0E5AE13D">
      <w:pPr>
        <w:shd w:val="clear" w:color="auto" w:fill="auto"/>
        <w:tabs>
          <w:tab w:val="left" w:pos="7665"/>
        </w:tabs>
        <w:spacing w:line="360" w:lineRule="auto"/>
        <w:ind w:firstLine="480" w:firstLineChars="200"/>
        <w:rPr>
          <w:rFonts w:hint="eastAsia" w:hAnsi="宋体" w:cs="宋体"/>
          <w:b/>
          <w:bCs/>
          <w:color w:val="auto"/>
          <w:sz w:val="24"/>
          <w:highlight w:val="none"/>
        </w:rPr>
      </w:pPr>
      <w:r>
        <w:rPr>
          <w:rFonts w:hint="eastAsia" w:hAnsi="宋体" w:cs="宋体"/>
          <w:color w:val="auto"/>
          <w:sz w:val="24"/>
          <w:highlight w:val="none"/>
        </w:rPr>
        <w:t>5、参加本次采购活动前三年内，在经营活动中没有重大违法记录</w:t>
      </w:r>
      <w:r>
        <w:rPr>
          <w:rFonts w:hint="eastAsia" w:hAnsi="宋体" w:cs="宋体"/>
          <w:b/>
          <w:bCs/>
          <w:color w:val="auto"/>
          <w:sz w:val="24"/>
          <w:highlight w:val="none"/>
        </w:rPr>
        <w:t>（提供书面承诺函）；</w:t>
      </w:r>
    </w:p>
    <w:p w14:paraId="36A35565">
      <w:pPr>
        <w:shd w:val="clear" w:color="auto" w:fill="auto"/>
        <w:tabs>
          <w:tab w:val="left" w:pos="7665"/>
        </w:tabs>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6、法律、行政法规规定的其他条件</w:t>
      </w:r>
      <w:r>
        <w:rPr>
          <w:rFonts w:hint="eastAsia" w:hAnsi="宋体" w:cs="宋体"/>
          <w:b/>
          <w:bCs/>
          <w:color w:val="auto"/>
          <w:sz w:val="24"/>
          <w:highlight w:val="none"/>
        </w:rPr>
        <w:t>（提供书面承诺函）</w:t>
      </w:r>
      <w:r>
        <w:rPr>
          <w:rFonts w:hint="eastAsia" w:hAnsi="宋体" w:cs="宋体"/>
          <w:color w:val="auto"/>
          <w:sz w:val="24"/>
          <w:highlight w:val="none"/>
        </w:rPr>
        <w:t>；</w:t>
      </w:r>
    </w:p>
    <w:p w14:paraId="37F9F0D0">
      <w:pPr>
        <w:shd w:val="clear" w:color="auto" w:fill="auto"/>
        <w:spacing w:line="360" w:lineRule="auto"/>
        <w:ind w:firstLine="480" w:firstLineChars="200"/>
        <w:rPr>
          <w:rFonts w:hint="eastAsia" w:hAnsi="宋体" w:cs="宋体"/>
          <w:bCs/>
          <w:color w:val="auto"/>
          <w:sz w:val="24"/>
          <w:highlight w:val="none"/>
        </w:rPr>
      </w:pPr>
      <w:r>
        <w:rPr>
          <w:rFonts w:hint="eastAsia" w:hAnsi="宋体" w:cs="宋体"/>
          <w:bCs/>
          <w:color w:val="auto"/>
          <w:sz w:val="24"/>
          <w:highlight w:val="none"/>
        </w:rPr>
        <w:t>7、</w:t>
      </w:r>
      <w:r>
        <w:rPr>
          <w:rFonts w:hint="eastAsia" w:hAnsi="宋体" w:cs="宋体"/>
          <w:color w:val="auto"/>
          <w:sz w:val="24"/>
          <w:highlight w:val="none"/>
        </w:rPr>
        <w:t>采购人针对采购项目提出的特定条件</w:t>
      </w:r>
      <w:r>
        <w:rPr>
          <w:rFonts w:hint="eastAsia" w:hAnsi="宋体" w:cs="宋体"/>
          <w:bCs/>
          <w:color w:val="auto"/>
          <w:sz w:val="24"/>
          <w:highlight w:val="none"/>
        </w:rPr>
        <w:t>：</w:t>
      </w:r>
    </w:p>
    <w:p w14:paraId="6B365C75">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1参加本项目采购活动的供应商须为“四川省医疗保障信息大数据一体化平台药品和医用耗材招采管理子系统（招采子系统）”中的配送单位。</w:t>
      </w:r>
      <w:r>
        <w:rPr>
          <w:rFonts w:hint="eastAsia" w:hAnsi="宋体" w:cs="宋体"/>
          <w:b/>
          <w:bCs/>
          <w:color w:val="auto"/>
          <w:sz w:val="24"/>
          <w:highlight w:val="none"/>
        </w:rPr>
        <w:t>（提供备案网页截图并加盖公章）</w:t>
      </w:r>
    </w:p>
    <w:p w14:paraId="7EF9CDEF">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.2所响应产品需为医用耗材招采管理子系统挂网产品</w:t>
      </w:r>
      <w:r>
        <w:rPr>
          <w:rFonts w:hint="eastAsia" w:ascii="宋体" w:hAnsi="宋体" w:eastAsia="宋体" w:cs="宋体"/>
          <w:b/>
          <w:bCs w:val="0"/>
          <w:color w:val="auto"/>
          <w:sz w:val="24"/>
          <w:highlight w:val="none"/>
          <w:lang w:val="en-US" w:eastAsia="zh-CN"/>
        </w:rPr>
        <w:t xml:space="preserve">（提供承诺函） </w:t>
      </w:r>
      <w:r>
        <w:rPr>
          <w:rFonts w:hint="eastAsia" w:hAnsi="宋体" w:cs="宋体"/>
          <w:color w:val="auto"/>
          <w:sz w:val="24"/>
          <w:highlight w:val="none"/>
        </w:rPr>
        <w:t>。</w:t>
      </w:r>
    </w:p>
    <w:p w14:paraId="116A9749">
      <w:pPr>
        <w:pStyle w:val="92"/>
        <w:shd w:val="clear" w:color="auto" w:fill="auto"/>
        <w:ind w:firstLine="600" w:firstLineChars="250"/>
        <w:rPr>
          <w:rFonts w:hint="eastAsia" w:hAnsi="宋体" w:cs="宋体"/>
          <w:color w:val="auto"/>
          <w:sz w:val="24"/>
          <w:highlight w:val="none"/>
          <w:lang w:val="en-US" w:eastAsia="zh-CN"/>
        </w:rPr>
      </w:pPr>
      <w:r>
        <w:rPr>
          <w:rFonts w:hint="eastAsia" w:hAnsi="宋体" w:cs="宋体"/>
          <w:color w:val="auto"/>
          <w:sz w:val="24"/>
          <w:highlight w:val="none"/>
          <w:lang w:val="en-US" w:eastAsia="zh-CN"/>
        </w:rPr>
        <w:t>7</w:t>
      </w:r>
      <w:r>
        <w:rPr>
          <w:rFonts w:hint="eastAsia" w:hAnsi="宋体" w:cs="宋体"/>
          <w:color w:val="auto"/>
          <w:sz w:val="24"/>
          <w:highlight w:val="none"/>
        </w:rPr>
        <w:t>.3</w:t>
      </w:r>
      <w:r>
        <w:rPr>
          <w:rFonts w:hint="eastAsia" w:ascii="宋体" w:hAnsi="宋体" w:eastAsia="宋体" w:cs="宋体"/>
          <w:bCs/>
          <w:color w:val="auto"/>
          <w:sz w:val="24"/>
          <w:highlight w:val="none"/>
          <w:lang w:val="en-US" w:eastAsia="zh-CN"/>
        </w:rPr>
        <w:t>供应商应承诺在履约过程中所提供的产品（如属于医疗器械）须符合《医疗器械注册与备案管理办法》的要求并能在履约前提供产品的注册、备案证明材料，在配送时提供并实时更新（</w:t>
      </w:r>
      <w:r>
        <w:rPr>
          <w:rFonts w:hint="eastAsia" w:ascii="宋体" w:hAnsi="宋体" w:eastAsia="宋体" w:cs="宋体"/>
          <w:b/>
          <w:bCs w:val="0"/>
          <w:color w:val="auto"/>
          <w:sz w:val="24"/>
          <w:highlight w:val="none"/>
          <w:lang w:val="en-US" w:eastAsia="zh-CN"/>
        </w:rPr>
        <w:t>提供承诺函</w:t>
      </w:r>
      <w:r>
        <w:rPr>
          <w:rFonts w:hint="eastAsia" w:ascii="宋体" w:hAnsi="宋体" w:eastAsia="宋体" w:cs="宋体"/>
          <w:bCs/>
          <w:color w:val="auto"/>
          <w:sz w:val="24"/>
          <w:highlight w:val="none"/>
          <w:lang w:val="en-US" w:eastAsia="zh-CN"/>
        </w:rPr>
        <w:t>）</w:t>
      </w:r>
      <w:r>
        <w:rPr>
          <w:rFonts w:hint="eastAsia" w:hAnsi="宋体" w:eastAsia="宋体" w:cs="宋体"/>
          <w:bCs/>
          <w:color w:val="auto"/>
          <w:sz w:val="24"/>
          <w:highlight w:val="none"/>
          <w:lang w:val="en-US" w:eastAsia="zh-CN"/>
        </w:rPr>
        <w:t>。</w:t>
      </w:r>
    </w:p>
    <w:p w14:paraId="0D6C3ED1">
      <w:pPr>
        <w:pStyle w:val="92"/>
        <w:shd w:val="clear" w:color="auto" w:fill="auto"/>
        <w:ind w:firstLine="600" w:firstLineChars="250"/>
        <w:rPr>
          <w:rFonts w:hint="eastAsia" w:hAnsi="宋体" w:cs="宋体"/>
          <w:color w:val="auto"/>
          <w:sz w:val="24"/>
          <w:highlight w:val="none"/>
        </w:rPr>
      </w:pPr>
      <w:r>
        <w:rPr>
          <w:rFonts w:hint="eastAsia" w:hAnsi="宋体" w:cs="宋体"/>
          <w:color w:val="auto"/>
          <w:sz w:val="24"/>
          <w:highlight w:val="none"/>
          <w:lang w:val="en-US" w:eastAsia="zh-CN"/>
        </w:rPr>
        <w:t>7</w:t>
      </w:r>
      <w:r>
        <w:rPr>
          <w:rFonts w:hint="eastAsia" w:hAnsi="宋体" w:cs="宋体"/>
          <w:color w:val="auto"/>
          <w:sz w:val="24"/>
          <w:highlight w:val="none"/>
        </w:rPr>
        <w:t>.4</w:t>
      </w:r>
      <w:r>
        <w:rPr>
          <w:rFonts w:hint="eastAsia" w:ascii="宋体" w:hAnsi="宋体" w:eastAsia="宋体" w:cs="宋体"/>
          <w:bCs/>
          <w:color w:val="auto"/>
          <w:sz w:val="24"/>
          <w:highlight w:val="none"/>
          <w:lang w:val="en-US" w:eastAsia="zh-CN"/>
        </w:rPr>
        <w:t>供应商须</w:t>
      </w:r>
      <w:r>
        <w:rPr>
          <w:rFonts w:hint="eastAsia" w:hAnsi="宋体" w:eastAsia="宋体" w:cs="宋体"/>
          <w:bCs/>
          <w:color w:val="auto"/>
          <w:sz w:val="24"/>
          <w:highlight w:val="none"/>
          <w:lang w:val="en-US" w:eastAsia="zh-CN"/>
        </w:rPr>
        <w:t>承诺</w:t>
      </w:r>
      <w:r>
        <w:rPr>
          <w:rFonts w:hint="eastAsia" w:ascii="宋体" w:hAnsi="宋体" w:eastAsia="宋体" w:cs="宋体"/>
          <w:bCs/>
          <w:color w:val="auto"/>
          <w:sz w:val="24"/>
          <w:highlight w:val="none"/>
          <w:lang w:val="en-US" w:eastAsia="zh-CN"/>
        </w:rPr>
        <w:t>符合《医疗器械监督管理条例》要求并提供</w:t>
      </w:r>
      <w:r>
        <w:rPr>
          <w:rFonts w:hint="eastAsia" w:hAnsi="宋体" w:cs="宋体"/>
          <w:bCs/>
          <w:color w:val="auto"/>
          <w:sz w:val="24"/>
          <w:highlight w:val="none"/>
          <w:lang w:val="en-US" w:eastAsia="zh-CN"/>
        </w:rPr>
        <w:t>其经营</w:t>
      </w:r>
      <w:r>
        <w:rPr>
          <w:rFonts w:hint="eastAsia" w:ascii="宋体" w:hAnsi="宋体" w:eastAsia="宋体" w:cs="宋体"/>
          <w:bCs/>
          <w:color w:val="auto"/>
          <w:sz w:val="24"/>
          <w:highlight w:val="none"/>
          <w:lang w:val="en-US" w:eastAsia="zh-CN"/>
        </w:rPr>
        <w:t>产品（如属于医疗器械）的经营许可、经营备案证明（</w:t>
      </w:r>
      <w:r>
        <w:rPr>
          <w:rFonts w:hint="eastAsia" w:ascii="宋体" w:hAnsi="宋体" w:eastAsia="宋体" w:cs="宋体"/>
          <w:b/>
          <w:bCs w:val="0"/>
          <w:color w:val="auto"/>
          <w:sz w:val="24"/>
          <w:highlight w:val="none"/>
          <w:lang w:val="en-US" w:eastAsia="zh-CN"/>
        </w:rPr>
        <w:t>提供承诺函</w:t>
      </w:r>
      <w:r>
        <w:rPr>
          <w:rFonts w:hint="eastAsia" w:ascii="宋体" w:hAnsi="宋体" w:eastAsia="宋体" w:cs="宋体"/>
          <w:bCs/>
          <w:color w:val="auto"/>
          <w:sz w:val="24"/>
          <w:highlight w:val="none"/>
          <w:lang w:val="en-US" w:eastAsia="zh-CN"/>
        </w:rPr>
        <w:t>）</w:t>
      </w:r>
      <w:r>
        <w:rPr>
          <w:rFonts w:hint="eastAsia" w:hAnsi="宋体" w:cs="宋体"/>
          <w:color w:val="auto"/>
          <w:sz w:val="24"/>
          <w:highlight w:val="none"/>
        </w:rPr>
        <w:t>。</w:t>
      </w:r>
    </w:p>
    <w:p w14:paraId="20CB97D7">
      <w:pPr>
        <w:numPr>
          <w:ilvl w:val="0"/>
          <w:numId w:val="3"/>
        </w:numPr>
        <w:shd w:val="clear" w:color="auto" w:fill="auto"/>
        <w:spacing w:after="50" w:line="420" w:lineRule="exact"/>
        <w:outlineLvl w:val="1"/>
        <w:rPr>
          <w:rFonts w:hint="eastAsia" w:hAnsi="宋体" w:cs="宋体"/>
          <w:b/>
          <w:bCs/>
          <w:color w:val="auto"/>
          <w:sz w:val="24"/>
          <w:highlight w:val="none"/>
        </w:rPr>
      </w:pPr>
      <w:bookmarkStart w:id="272" w:name="_Toc8060"/>
      <w:bookmarkStart w:id="273" w:name="_Toc16673"/>
      <w:bookmarkStart w:id="274" w:name="_Toc24294"/>
      <w:bookmarkStart w:id="275" w:name="_Toc13239"/>
      <w:bookmarkStart w:id="276" w:name="_Toc8182"/>
      <w:bookmarkStart w:id="277" w:name="_Toc30624"/>
      <w:r>
        <w:rPr>
          <w:rFonts w:hint="eastAsia" w:hAnsi="宋体" w:cs="宋体"/>
          <w:b/>
          <w:bCs/>
          <w:color w:val="auto"/>
          <w:sz w:val="24"/>
          <w:highlight w:val="none"/>
        </w:rPr>
        <w:t>供应商其他类似效力要求的相关证明材料：</w:t>
      </w:r>
      <w:bookmarkEnd w:id="272"/>
      <w:bookmarkEnd w:id="273"/>
      <w:bookmarkEnd w:id="274"/>
      <w:bookmarkEnd w:id="275"/>
      <w:bookmarkEnd w:id="276"/>
      <w:bookmarkEnd w:id="277"/>
    </w:p>
    <w:p w14:paraId="5011D8D3">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法定代表人身份证复印件（身份证两面均应复印）或护照复印件（注：1.法定代表人身份证复印件（在有效期内）或护照复印件（法定代表人外籍人士的，按此提供）；2.复印件加盖公章；3.有供应商法定代表人签署所有响应文件并参与磋商的，原件备查。）。</w:t>
      </w:r>
    </w:p>
    <w:p w14:paraId="547912A7">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（2）代理人身份证复印件（身份证两面均应复印）（注：1.代理人身份证复印件；2.在有效期内；3.复印件加盖公章；4.如响应文件均由供应商法定代表人签字的，则可不提供。）。</w:t>
      </w:r>
    </w:p>
    <w:p w14:paraId="145A7E9F">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（3）法定代表人授权书原件（法定代表人不参与磋商而委托授权代表参与适用）或法定代表人身份证明原件（法定代表人参与磋商而非委托授权代表参与适用）</w:t>
      </w:r>
    </w:p>
    <w:p w14:paraId="5588235A">
      <w:pPr>
        <w:pStyle w:val="13"/>
        <w:numPr>
          <w:ilvl w:val="0"/>
          <w:numId w:val="0"/>
        </w:numPr>
        <w:shd w:val="clear" w:color="auto" w:fill="auto"/>
        <w:rPr>
          <w:rFonts w:hint="eastAsia" w:ascii="宋体" w:hAnsi="宋体" w:eastAsia="宋体" w:cs="宋体"/>
          <w:color w:val="auto"/>
          <w:highlight w:val="none"/>
        </w:rPr>
      </w:pPr>
    </w:p>
    <w:p w14:paraId="291B6C2C">
      <w:pPr>
        <w:shd w:val="clear" w:color="auto" w:fill="auto"/>
        <w:spacing w:line="360" w:lineRule="auto"/>
        <w:ind w:firstLine="482" w:firstLineChars="200"/>
        <w:rPr>
          <w:rFonts w:hint="eastAsia" w:hAnsi="宋体" w:cs="宋体"/>
          <w:b/>
          <w:bCs/>
          <w:color w:val="auto"/>
          <w:sz w:val="24"/>
          <w:highlight w:val="none"/>
        </w:rPr>
      </w:pPr>
      <w:r>
        <w:rPr>
          <w:rFonts w:hint="eastAsia" w:hAnsi="宋体" w:cs="宋体"/>
          <w:b/>
          <w:bCs/>
          <w:color w:val="auto"/>
          <w:sz w:val="24"/>
          <w:highlight w:val="none"/>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14:paraId="4541F1B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964" w:firstLineChars="400"/>
        <w:textAlignment w:val="auto"/>
        <w:rPr>
          <w:rFonts w:hint="eastAsia" w:hAnsi="宋体" w:cs="宋体"/>
          <w:b/>
          <w:bCs/>
          <w:color w:val="auto"/>
          <w:highlight w:val="none"/>
        </w:rPr>
      </w:pPr>
      <w:r>
        <w:rPr>
          <w:rFonts w:hint="eastAsia" w:ascii="宋体" w:hAnsi="宋体" w:eastAsia="宋体" w:cs="宋体"/>
          <w:b/>
          <w:bCs/>
          <w:color w:val="auto"/>
          <w:sz w:val="24"/>
          <w:highlight w:val="none"/>
          <w:lang w:val="en-US" w:eastAsia="zh-CN"/>
        </w:rPr>
        <w:t>2.</w:t>
      </w:r>
      <w:r>
        <w:rPr>
          <w:rFonts w:hint="eastAsia" w:hAnsi="宋体" w:cs="宋体"/>
          <w:b/>
          <w:bCs/>
          <w:color w:val="auto"/>
          <w:sz w:val="24"/>
          <w:highlight w:val="none"/>
        </w:rPr>
        <w:t>本章要求提供的相关证明材料应当结合采购项目具体情况和供应商的组织机构性质确定，不得一概而论。</w:t>
      </w:r>
    </w:p>
    <w:p w14:paraId="3A4713FD">
      <w:pPr>
        <w:numPr>
          <w:ilvl w:val="0"/>
          <w:numId w:val="4"/>
        </w:numPr>
        <w:shd w:val="clear" w:color="auto" w:fill="auto"/>
        <w:spacing w:line="360" w:lineRule="auto"/>
        <w:jc w:val="center"/>
        <w:outlineLvl w:val="0"/>
        <w:rPr>
          <w:rFonts w:hint="eastAsia" w:hAnsi="宋体" w:cs="宋体"/>
          <w:b/>
          <w:color w:val="auto"/>
          <w:sz w:val="32"/>
          <w:szCs w:val="32"/>
          <w:highlight w:val="none"/>
        </w:rPr>
      </w:pPr>
      <w:bookmarkStart w:id="278" w:name="_Toc11435"/>
      <w:bookmarkStart w:id="279" w:name="_Toc8349"/>
      <w:bookmarkStart w:id="280" w:name="_Toc31039"/>
      <w:bookmarkStart w:id="281" w:name="_Toc13027"/>
      <w:bookmarkStart w:id="282" w:name="_Toc2906"/>
      <w:bookmarkStart w:id="283" w:name="_Toc12683"/>
      <w:bookmarkStart w:id="284" w:name="_Toc6330"/>
      <w:bookmarkStart w:id="285" w:name="_Toc6825"/>
      <w:bookmarkStart w:id="286" w:name="_Toc9372"/>
      <w:bookmarkStart w:id="287" w:name="_Toc17364"/>
      <w:bookmarkStart w:id="288" w:name="_Toc19518"/>
      <w:r>
        <w:rPr>
          <w:rFonts w:hint="eastAsia" w:hAnsi="宋体" w:cs="宋体"/>
          <w:b/>
          <w:color w:val="auto"/>
          <w:sz w:val="32"/>
          <w:szCs w:val="32"/>
          <w:highlight w:val="none"/>
        </w:rPr>
        <w:br w:type="page"/>
      </w:r>
      <w:bookmarkStart w:id="289" w:name="_Toc3303"/>
      <w:bookmarkStart w:id="290" w:name="_Toc13097"/>
      <w:r>
        <w:rPr>
          <w:rFonts w:hint="eastAsia" w:hAnsi="宋体" w:cs="宋体"/>
          <w:b/>
          <w:color w:val="auto"/>
          <w:sz w:val="32"/>
          <w:szCs w:val="32"/>
          <w:highlight w:val="none"/>
        </w:rPr>
        <w:t>采购项目技术、服务、采购合同内容条款及其他商</w:t>
      </w:r>
      <w:bookmarkEnd w:id="156"/>
      <w:bookmarkEnd w:id="157"/>
      <w:bookmarkEnd w:id="158"/>
      <w:bookmarkEnd w:id="159"/>
      <w:bookmarkEnd w:id="160"/>
      <w:bookmarkStart w:id="291" w:name="_Toc183682369"/>
      <w:bookmarkStart w:id="292" w:name="_Toc217446057"/>
      <w:bookmarkStart w:id="293" w:name="_Toc183582232"/>
      <w:r>
        <w:rPr>
          <w:rFonts w:hint="eastAsia" w:hAnsi="宋体" w:cs="宋体"/>
          <w:b/>
          <w:color w:val="auto"/>
          <w:sz w:val="32"/>
          <w:szCs w:val="32"/>
          <w:highlight w:val="none"/>
        </w:rPr>
        <w:t>务要求</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77D20E06">
      <w:pPr>
        <w:keepNext w:val="0"/>
        <w:keepLines w:val="0"/>
        <w:pageBreakBefore w:val="0"/>
        <w:kinsoku/>
        <w:wordWrap/>
        <w:overflowPunct/>
        <w:topLinePunct w:val="0"/>
        <w:autoSpaceDE/>
        <w:autoSpaceDN/>
        <w:bidi w:val="0"/>
        <w:adjustRightInd/>
        <w:spacing w:line="360" w:lineRule="auto"/>
        <w:ind w:firstLine="482" w:firstLineChars="200"/>
        <w:jc w:val="left"/>
        <w:outlineLvl w:val="9"/>
        <w:rPr>
          <w:rFonts w:hint="eastAsia" w:ascii="宋体" w:hAnsi="宋体" w:eastAsia="宋体" w:cs="宋体"/>
          <w:b/>
          <w:bCs/>
          <w:color w:val="auto"/>
          <w:kern w:val="2"/>
          <w:sz w:val="24"/>
          <w:szCs w:val="24"/>
          <w:highlight w:val="none"/>
          <w:lang w:val="zh-CN" w:eastAsia="zh-CN" w:bidi="ar-SA"/>
        </w:rPr>
      </w:pPr>
      <w:bookmarkStart w:id="294" w:name="_Toc13485"/>
      <w:r>
        <w:rPr>
          <w:rFonts w:hint="eastAsia" w:ascii="宋体" w:hAnsi="宋体" w:eastAsia="宋体" w:cs="宋体"/>
          <w:b/>
          <w:bCs/>
          <w:color w:val="auto"/>
          <w:kern w:val="2"/>
          <w:sz w:val="24"/>
          <w:szCs w:val="24"/>
          <w:highlight w:val="none"/>
          <w:lang w:val="zh-CN" w:eastAsia="zh-CN" w:bidi="ar-SA"/>
        </w:rPr>
        <w:t>一、</w:t>
      </w:r>
      <w:r>
        <w:rPr>
          <w:rFonts w:hint="eastAsia" w:ascii="宋体" w:hAnsi="宋体" w:eastAsia="宋体" w:cs="宋体"/>
          <w:b/>
          <w:color w:val="auto"/>
          <w:sz w:val="24"/>
          <w:szCs w:val="24"/>
          <w:highlight w:val="none"/>
        </w:rPr>
        <w:t>项目概述</w:t>
      </w:r>
    </w:p>
    <w:p w14:paraId="4A5ADBE6">
      <w:pPr>
        <w:pStyle w:val="13"/>
        <w:numPr>
          <w:ilvl w:val="0"/>
          <w:numId w:val="0"/>
        </w:numPr>
        <w:shd w:val="clear" w:color="auto" w:fill="auto"/>
        <w:tabs>
          <w:tab w:val="left" w:pos="780"/>
        </w:tabs>
        <w:kinsoku w:val="0"/>
        <w:overflowPunct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本项目为资中县中医医院一次性活检针等医用耗材</w:t>
      </w:r>
      <w:r>
        <w:rPr>
          <w:rFonts w:hint="eastAsia" w:ascii="宋体" w:hAnsi="宋体" w:eastAsia="宋体" w:cs="宋体"/>
          <w:bCs/>
          <w:color w:val="auto"/>
          <w:sz w:val="24"/>
          <w:szCs w:val="24"/>
          <w:highlight w:val="none"/>
        </w:rPr>
        <w:t>，服务期限为</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eastAsia="zh-CN"/>
        </w:rPr>
        <w:t>，预算控制价为</w:t>
      </w:r>
      <w:r>
        <w:rPr>
          <w:rFonts w:hint="eastAsia" w:ascii="宋体" w:hAnsi="宋体" w:eastAsia="宋体" w:cs="宋体"/>
          <w:bCs/>
          <w:color w:val="auto"/>
          <w:sz w:val="24"/>
          <w:szCs w:val="24"/>
          <w:highlight w:val="none"/>
          <w:lang w:val="en-US" w:eastAsia="zh-CN"/>
        </w:rPr>
        <w:t>2.5万/年</w:t>
      </w:r>
      <w:r>
        <w:rPr>
          <w:rFonts w:hint="eastAsia" w:ascii="宋体" w:hAnsi="宋体" w:eastAsia="宋体" w:cs="宋体"/>
          <w:bCs/>
          <w:color w:val="auto"/>
          <w:sz w:val="24"/>
          <w:szCs w:val="24"/>
          <w:highlight w:val="none"/>
        </w:rPr>
        <w:t>。本项目共计一个包。</w:t>
      </w:r>
    </w:p>
    <w:p w14:paraId="096DC494">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r>
        <w:rPr>
          <w:rFonts w:hint="eastAsia"/>
          <w:b/>
          <w:bCs/>
          <w:kern w:val="2"/>
          <w:sz w:val="24"/>
          <w:szCs w:val="24"/>
          <w:highlight w:val="none"/>
          <w:lang w:val="zh-CN" w:eastAsia="zh-CN" w:bidi="ar-SA"/>
        </w:rPr>
        <w:t>二、</w:t>
      </w:r>
      <w:r>
        <w:rPr>
          <w:rFonts w:hint="eastAsia" w:ascii="宋体" w:hAnsi="宋体" w:cs="宋体"/>
          <w:b/>
          <w:bCs/>
          <w:color w:val="auto"/>
          <w:kern w:val="2"/>
          <w:sz w:val="24"/>
          <w:szCs w:val="24"/>
          <w:highlight w:val="none"/>
          <w:lang w:val="zh-CN" w:eastAsia="zh-CN" w:bidi="ar-SA"/>
        </w:rPr>
        <w:t>配送清单及技术参数要求</w:t>
      </w:r>
    </w:p>
    <w:p w14:paraId="6A88CA9F">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r>
        <w:rPr>
          <w:rFonts w:hint="eastAsia"/>
          <w:b/>
          <w:bCs/>
          <w:kern w:val="2"/>
          <w:sz w:val="24"/>
          <w:szCs w:val="24"/>
          <w:highlight w:val="none"/>
          <w:lang w:val="zh-CN" w:eastAsia="zh-CN" w:bidi="ar-SA"/>
        </w:rPr>
        <w:t>★</w:t>
      </w:r>
      <w:r>
        <w:rPr>
          <w:rFonts w:hint="eastAsia" w:ascii="宋体" w:hAnsi="宋体" w:cs="宋体"/>
          <w:b/>
          <w:bCs/>
          <w:color w:val="auto"/>
          <w:kern w:val="2"/>
          <w:sz w:val="24"/>
          <w:szCs w:val="24"/>
          <w:highlight w:val="none"/>
          <w:lang w:val="zh-CN" w:eastAsia="zh-CN" w:bidi="ar-SA"/>
        </w:rPr>
        <w:t>（一）配送清单</w:t>
      </w:r>
    </w:p>
    <w:tbl>
      <w:tblPr>
        <w:tblStyle w:val="28"/>
        <w:tblW w:w="44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
        <w:gridCol w:w="1743"/>
        <w:gridCol w:w="1986"/>
        <w:gridCol w:w="1547"/>
        <w:gridCol w:w="517"/>
        <w:gridCol w:w="1059"/>
        <w:gridCol w:w="813"/>
      </w:tblGrid>
      <w:tr w14:paraId="1D39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9744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22261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配送产品名称</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5FE5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参考规格</w:t>
            </w:r>
          </w:p>
        </w:tc>
        <w:tc>
          <w:tcPr>
            <w:tcW w:w="948" w:type="pct"/>
            <w:tcBorders>
              <w:top w:val="single" w:color="000000" w:sz="4" w:space="0"/>
              <w:left w:val="single" w:color="000000" w:sz="4" w:space="0"/>
              <w:bottom w:val="single" w:color="000000" w:sz="4" w:space="0"/>
              <w:right w:val="single" w:color="000000" w:sz="4" w:space="0"/>
            </w:tcBorders>
            <w:noWrap w:val="0"/>
            <w:vAlign w:val="center"/>
          </w:tcPr>
          <w:p w14:paraId="30BFA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医保耗材代码</w:t>
            </w:r>
            <w:r>
              <w:rPr>
                <w:rFonts w:hint="eastAsia" w:ascii="宋体" w:hAnsi="宋体" w:eastAsia="宋体" w:cs="宋体"/>
                <w:b/>
                <w:bCs/>
                <w:i w:val="0"/>
                <w:iCs w:val="0"/>
                <w:color w:val="000000"/>
                <w:kern w:val="0"/>
                <w:sz w:val="24"/>
                <w:szCs w:val="24"/>
                <w:u w:val="none"/>
                <w:lang w:val="zh-CN" w:eastAsia="zh-CN" w:bidi="ar"/>
              </w:rPr>
              <w:t>（</w:t>
            </w:r>
            <w:r>
              <w:rPr>
                <w:rFonts w:hint="eastAsia" w:ascii="宋体" w:hAnsi="宋体" w:eastAsia="宋体" w:cs="宋体"/>
                <w:b/>
                <w:bCs/>
                <w:i w:val="0"/>
                <w:iCs w:val="0"/>
                <w:color w:val="000000"/>
                <w:kern w:val="0"/>
                <w:sz w:val="24"/>
                <w:szCs w:val="24"/>
                <w:u w:val="none"/>
                <w:lang w:val="en-US" w:eastAsia="zh-CN" w:bidi="ar"/>
              </w:rPr>
              <w:t>前10位）</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E34D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07CE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214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是否挂网</w:t>
            </w:r>
          </w:p>
        </w:tc>
      </w:tr>
      <w:tr w14:paraId="08F8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0059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F63F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一次性活检针（白枪全自动）</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3927C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16G*10cm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6E1FB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A165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根</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8B83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535.00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C17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19D1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2F54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7C25D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穿刺活检针（一次性半自动活检装置）</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62AFB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18G*16cm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22E1B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709F5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DB31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542.00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DC4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8E1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075F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90FF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4010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16Gx10cm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6B8EC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8E3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275B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238.00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F6D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D0F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F423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36911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18124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18Gx16cm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4239F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C010602007</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4C7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07F5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234.78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B976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033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4510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62440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吸痰型气管插管导管</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3F49A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216BD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C142501209</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6B47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A50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76.00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D72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C28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ECA1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18A9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吸痰型气管切开导管</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61955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7717B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C142505020</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39D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0210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56.00 </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49B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2DA3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4F5B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59A7B9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医用液体敷料</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6A9E7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260mL/瓶</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0523D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C170102216</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DE2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瓶</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FCF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145.77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813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3C77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FC16508">
            <w:pPr>
              <w:keepNext w:val="0"/>
              <w:keepLines w:val="0"/>
              <w:widowControl/>
              <w:suppressLineNumbers w:val="0"/>
              <w:spacing w:before="0" w:beforeAutospacing="0" w:after="0" w:afterAutospacing="0"/>
              <w:ind w:left="0" w:right="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19F66E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盘龙柄火针</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14:paraId="4DF8C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0.5*50mm</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14:paraId="124A2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C130201179</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30F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39FB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10D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14:paraId="3AF0C67F">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p>
    <w:p w14:paraId="2748B810">
      <w:pPr>
        <w:keepNext w:val="0"/>
        <w:keepLines w:val="0"/>
        <w:pageBreakBefore w:val="0"/>
        <w:numPr>
          <w:ilvl w:val="0"/>
          <w:numId w:val="0"/>
        </w:numPr>
        <w:kinsoku/>
        <w:wordWrap/>
        <w:overflowPunct/>
        <w:topLinePunct w:val="0"/>
        <w:autoSpaceDE/>
        <w:autoSpaceDN/>
        <w:bidi w:val="0"/>
        <w:adjustRightInd/>
        <w:spacing w:line="360" w:lineRule="auto"/>
        <w:ind w:firstLine="482" w:firstLineChars="200"/>
        <w:jc w:val="left"/>
        <w:outlineLvl w:val="9"/>
        <w:rPr>
          <w:rFonts w:hint="eastAsia" w:ascii="宋体" w:hAnsi="宋体" w:cs="宋体"/>
          <w:b/>
          <w:bCs/>
          <w:color w:val="auto"/>
          <w:kern w:val="2"/>
          <w:sz w:val="24"/>
          <w:szCs w:val="24"/>
          <w:highlight w:val="none"/>
          <w:lang w:val="zh-CN" w:eastAsia="zh-CN" w:bidi="ar-SA"/>
        </w:rPr>
      </w:pPr>
      <w:r>
        <w:rPr>
          <w:rFonts w:hint="eastAsia" w:ascii="宋体" w:hAnsi="宋体" w:cs="宋体"/>
          <w:b/>
          <w:bCs/>
          <w:color w:val="auto"/>
          <w:kern w:val="2"/>
          <w:sz w:val="24"/>
          <w:szCs w:val="24"/>
          <w:highlight w:val="none"/>
          <w:lang w:val="zh-CN" w:eastAsia="zh-CN" w:bidi="ar-SA"/>
        </w:rPr>
        <w:t>（二）技术参数及要求</w:t>
      </w:r>
    </w:p>
    <w:tbl>
      <w:tblPr>
        <w:tblStyle w:val="2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
        <w:gridCol w:w="1746"/>
        <w:gridCol w:w="1977"/>
        <w:gridCol w:w="4970"/>
      </w:tblGrid>
      <w:tr w14:paraId="05A6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63" w:type="pct"/>
            <w:tcBorders>
              <w:top w:val="single" w:color="000000" w:sz="4" w:space="0"/>
              <w:left w:val="single" w:color="000000" w:sz="4" w:space="0"/>
              <w:bottom w:val="single" w:color="000000" w:sz="4" w:space="0"/>
              <w:right w:val="single" w:color="000000" w:sz="4" w:space="0"/>
            </w:tcBorders>
            <w:noWrap w:val="0"/>
            <w:vAlign w:val="center"/>
          </w:tcPr>
          <w:p w14:paraId="5897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51" w:type="pct"/>
            <w:tcBorders>
              <w:top w:val="single" w:color="000000" w:sz="4" w:space="0"/>
              <w:left w:val="single" w:color="000000" w:sz="4" w:space="0"/>
              <w:bottom w:val="single" w:color="000000" w:sz="4" w:space="0"/>
              <w:right w:val="single" w:color="000000" w:sz="4" w:space="0"/>
            </w:tcBorders>
            <w:noWrap w:val="0"/>
            <w:vAlign w:val="center"/>
          </w:tcPr>
          <w:p w14:paraId="77E65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77" w:type="pct"/>
            <w:tcBorders>
              <w:top w:val="single" w:color="000000" w:sz="4" w:space="0"/>
              <w:left w:val="single" w:color="000000" w:sz="4" w:space="0"/>
              <w:bottom w:val="single" w:color="000000" w:sz="4" w:space="0"/>
              <w:right w:val="single" w:color="000000" w:sz="4" w:space="0"/>
            </w:tcBorders>
            <w:noWrap w:val="0"/>
            <w:vAlign w:val="center"/>
          </w:tcPr>
          <w:p w14:paraId="6CCF7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参考规格</w:t>
            </w:r>
          </w:p>
        </w:tc>
        <w:tc>
          <w:tcPr>
            <w:tcW w:w="2707" w:type="pct"/>
            <w:tcBorders>
              <w:top w:val="single" w:color="000000" w:sz="4" w:space="0"/>
              <w:left w:val="single" w:color="000000" w:sz="4" w:space="0"/>
              <w:bottom w:val="single" w:color="000000" w:sz="4" w:space="0"/>
              <w:right w:val="single" w:color="000000" w:sz="4" w:space="0"/>
            </w:tcBorders>
            <w:noWrap w:val="0"/>
            <w:vAlign w:val="center"/>
          </w:tcPr>
          <w:p w14:paraId="4FE29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r>
      <w:tr w14:paraId="6CD8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263" w:type="pct"/>
            <w:tcBorders>
              <w:top w:val="single" w:color="000000" w:sz="4" w:space="0"/>
              <w:left w:val="single" w:color="000000" w:sz="4" w:space="0"/>
              <w:bottom w:val="single" w:color="000000" w:sz="4" w:space="0"/>
              <w:right w:val="single" w:color="000000" w:sz="4" w:space="0"/>
            </w:tcBorders>
            <w:noWrap w:val="0"/>
            <w:vAlign w:val="center"/>
          </w:tcPr>
          <w:p w14:paraId="5E927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44E8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一次性活检针（白枪全自动）</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196E6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16G*10cm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17C3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次性活检针由手柄和活检针组成，手柄由树脂和热塑性弹性体构成，活检针由304不锈钢穿刺针和同心套管组成。套管上有厘米刻度标识。手柄旁侧和后部的传动按钮按照不同的规格大小用不同颜色标出:黄色-20G、粉红色-18G、紫色=16G、绿色=14G。</w:t>
            </w:r>
          </w:p>
        </w:tc>
      </w:tr>
      <w:tr w14:paraId="6256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63" w:type="pct"/>
            <w:tcBorders>
              <w:top w:val="single" w:color="000000" w:sz="4" w:space="0"/>
              <w:left w:val="single" w:color="000000" w:sz="4" w:space="0"/>
              <w:bottom w:val="single" w:color="000000" w:sz="4" w:space="0"/>
              <w:right w:val="single" w:color="000000" w:sz="4" w:space="0"/>
            </w:tcBorders>
            <w:noWrap w:val="0"/>
            <w:vAlign w:val="center"/>
          </w:tcPr>
          <w:p w14:paraId="08315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E853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穿刺活检针（一次性半自动活检装置）</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86DA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18G*16cm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05F12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穿刺活检针由手柄和针体部分组成。手柄由树脂和热塑弹性体构成，针体由医用不锈钢的同芯套管针组成。根据手柄的操作方式分为全自动、半自动和手动穿刺活检针。产品经环氧乙烷灭菌，一次性使用。</w:t>
            </w:r>
          </w:p>
        </w:tc>
      </w:tr>
      <w:tr w14:paraId="2F68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9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05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B4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16Gx10cm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2981F7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由不锈钢穿刺针和针芯组成。穿刺针上刻有厘米刻度标识，不锈钢材质均为304不锈钢，活检针手柄的颜色代表不同直径：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黄色=20G、粉红色=18G、紫色=16G、绿色=14G、浅蓝色=12G</w:t>
            </w:r>
          </w:p>
        </w:tc>
      </w:tr>
      <w:tr w14:paraId="3778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2D2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53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一次性使用活检针</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2C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18Gx16cm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5CB0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由不锈钢穿刺针和针芯组成。穿刺针上刻有厘米刻度标识，不锈钢材质均为304不锈钢，活检针手柄的颜色代表不同直径：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黄色=20G、粉红色=18G、紫色=16G、绿色=14G、浅蓝色=12G</w:t>
            </w:r>
          </w:p>
        </w:tc>
      </w:tr>
      <w:tr w14:paraId="29E1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8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94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吸痰型气管插管导管</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F5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D308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产品给药型由主体管、机器端接头、给药接头、主体管套囊、给药套囊、指示气囊、连接管、单向阀及充气管组成;吸痰型由主体管、机器端接头、吸痰接头、主体管套囊、指示气囊、连接管、单向阀、充气管及吸痰孔组成。</w:t>
            </w:r>
          </w:p>
        </w:tc>
      </w:tr>
      <w:tr w14:paraId="7557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A4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46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吸痰型气管切开导管</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95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06E5BD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本产品主要由导管、指示球囊、羊向阀、充气管、接头、插管芯固定翼及套囊(或加强丝)组成。经环氧乙烷灭菌、产品无菌。</w:t>
            </w:r>
          </w:p>
        </w:tc>
      </w:tr>
      <w:tr w14:paraId="3695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BF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hAnsi="宋体" w:cs="宋体"/>
                <w:i w:val="0"/>
                <w:iCs w:val="0"/>
                <w:color w:val="000000"/>
                <w:kern w:val="0"/>
                <w:sz w:val="24"/>
                <w:szCs w:val="24"/>
                <w:u w:val="none"/>
                <w:lang w:val="en-US" w:eastAsia="zh-CN" w:bidi="ar"/>
              </w:rPr>
              <w:t>7</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5F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医用液体敷料</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CCB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260mL/瓶</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79D0D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本品由卡波姆溶液和喷瓶组成。其中卡波姆溶液由卡波姆、乙二胺四乙酸二钠、尼泊金丙酯钠、氯化钠、三乙醇胺、柠檬酸钠、矫味剂、纯化水组成。用于犬伤门诊使用</w:t>
            </w:r>
          </w:p>
        </w:tc>
      </w:tr>
      <w:tr w14:paraId="1DC7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7ECCD">
            <w:pPr>
              <w:keepNext w:val="0"/>
              <w:keepLines w:val="0"/>
              <w:widowControl/>
              <w:suppressLineNumbers w:val="0"/>
              <w:spacing w:before="0" w:beforeAutospacing="0" w:after="0" w:afterAutospacing="0"/>
              <w:ind w:left="0" w:right="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8</w:t>
            </w: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27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盘龙柄火针</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BD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0.4*40mm</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0.5*50mm</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14:paraId="593403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由针体和针柄组成，针体采用钨钢丝制成，针柄采用铜制成。供中医专业医师火针疗法使用。</w:t>
            </w:r>
          </w:p>
        </w:tc>
      </w:tr>
    </w:tbl>
    <w:p w14:paraId="6199CD96">
      <w:pPr>
        <w:pStyle w:val="13"/>
        <w:keepNext w:val="0"/>
        <w:keepLines w:val="0"/>
        <w:pageBreakBefore w:val="0"/>
        <w:widowControl w:val="0"/>
        <w:numPr>
          <w:ilvl w:val="0"/>
          <w:numId w:val="0"/>
        </w:numPr>
        <w:shd w:val="clear" w:color="auto" w:fill="auto"/>
        <w:tabs>
          <w:tab w:val="left" w:pos="780"/>
        </w:tabs>
        <w:kinsoku w:val="0"/>
        <w:wordWrap/>
        <w:overflowPunct w:val="0"/>
        <w:topLinePunct w:val="0"/>
        <w:autoSpaceDE/>
        <w:autoSpaceDN/>
        <w:bidi w:val="0"/>
        <w:adjustRightInd/>
        <w:snapToGrid/>
        <w:spacing w:after="0" w:line="360" w:lineRule="auto"/>
        <w:textAlignment w:val="auto"/>
        <w:rPr>
          <w:rFonts w:hint="eastAsia" w:ascii="宋体" w:hAnsi="宋体" w:eastAsia="宋体" w:cs="宋体"/>
          <w:b/>
          <w:color w:val="auto"/>
          <w:sz w:val="24"/>
          <w:szCs w:val="24"/>
          <w:highlight w:val="none"/>
        </w:rPr>
      </w:pPr>
      <w:r>
        <w:rPr>
          <w:rFonts w:hint="eastAsia" w:hAnsi="宋体" w:cs="宋体"/>
          <w:b/>
          <w:bCs/>
          <w:color w:val="auto"/>
          <w:sz w:val="24"/>
          <w:szCs w:val="24"/>
          <w:highlight w:val="none"/>
        </w:rPr>
        <w:t>★</w:t>
      </w: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、服务要求</w:t>
      </w:r>
    </w:p>
    <w:p w14:paraId="3EC20B55">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1、质量要求</w:t>
      </w:r>
      <w:r>
        <w:rPr>
          <w:rFonts w:hint="eastAsia" w:ascii="宋体" w:hAnsi="宋体" w:eastAsia="宋体" w:cs="宋体"/>
          <w:b w:val="0"/>
          <w:bCs w:val="0"/>
          <w:sz w:val="24"/>
          <w:szCs w:val="24"/>
          <w:shd w:val="clear" w:color="auto" w:fill="FFFFFF"/>
        </w:rPr>
        <w:t>：</w:t>
      </w:r>
    </w:p>
    <w:p w14:paraId="46EA1811">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（1）</w:t>
      </w:r>
      <w:r>
        <w:rPr>
          <w:rFonts w:hint="eastAsia" w:ascii="宋体" w:hAnsi="宋体" w:eastAsia="宋体" w:cs="宋体"/>
          <w:b w:val="0"/>
          <w:bCs w:val="0"/>
          <w:sz w:val="24"/>
          <w:szCs w:val="24"/>
          <w:shd w:val="clear" w:color="auto" w:fill="FFFFFF"/>
        </w:rPr>
        <w:t>供应商需提供全新、全面、合格，符合国家标准的货物。</w:t>
      </w:r>
    </w:p>
    <w:p w14:paraId="1BE51EFB">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2）</w:t>
      </w:r>
      <w:r>
        <w:rPr>
          <w:rFonts w:hint="eastAsia" w:ascii="宋体" w:hAnsi="宋体" w:eastAsia="宋体" w:cs="宋体"/>
          <w:b w:val="0"/>
          <w:bCs w:val="0"/>
          <w:sz w:val="24"/>
          <w:szCs w:val="24"/>
          <w:shd w:val="clear" w:color="auto" w:fill="FFFFFF"/>
        </w:rPr>
        <w:t>供应商配送的产品必须是正品正货，包装和内容一致，对所配送产品质量承担全部责任。</w:t>
      </w:r>
    </w:p>
    <w:p w14:paraId="7196104E">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3）</w:t>
      </w:r>
      <w:r>
        <w:rPr>
          <w:rFonts w:hint="eastAsia" w:ascii="宋体" w:hAnsi="宋体" w:eastAsia="宋体" w:cs="宋体"/>
          <w:b w:val="0"/>
          <w:bCs w:val="0"/>
          <w:sz w:val="24"/>
          <w:szCs w:val="24"/>
          <w:shd w:val="clear" w:color="auto" w:fill="FFFFFF"/>
        </w:rPr>
        <w:t>供应商配送产品需符合国家各级监督管理部门规定的质量标准，确保临床使用安全有效</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sz w:val="24"/>
          <w:szCs w:val="24"/>
          <w:shd w:val="clear" w:color="auto" w:fill="FFFFFF"/>
        </w:rPr>
        <w:t>在正常使用下不应对使用者造成任何人身伤害</w:t>
      </w:r>
      <w:r>
        <w:rPr>
          <w:rFonts w:hint="eastAsia" w:ascii="宋体" w:hAnsi="宋体" w:eastAsia="宋体" w:cs="宋体"/>
          <w:b w:val="0"/>
          <w:bCs w:val="0"/>
          <w:sz w:val="24"/>
          <w:szCs w:val="24"/>
          <w:shd w:val="clear" w:color="auto" w:fill="FFFFFF"/>
        </w:rPr>
        <w:t>。产品有效期应满足</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的要求，若有效期内出现质量问题由供应商负责退换货。</w:t>
      </w:r>
    </w:p>
    <w:p w14:paraId="159F2323">
      <w:pPr>
        <w:spacing w:line="500" w:lineRule="exact"/>
        <w:ind w:firstLine="480" w:firstLineChars="200"/>
        <w:jc w:val="left"/>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4</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供应商配送产品必须达到质量管理体系要求，符合国家有关法律法规规定，符合采购人对产品的性能验</w:t>
      </w:r>
      <w:r>
        <w:rPr>
          <w:rFonts w:hint="eastAsia" w:ascii="宋体" w:hAnsi="宋体" w:eastAsia="宋体" w:cs="宋体"/>
          <w:b w:val="0"/>
          <w:bCs w:val="0"/>
          <w:color w:val="auto"/>
          <w:sz w:val="24"/>
          <w:szCs w:val="24"/>
          <w:highlight w:val="none"/>
          <w:shd w:val="clear" w:color="auto" w:fill="FFFFFF"/>
        </w:rPr>
        <w:t>证要求，在使用中对不符合要求的耗材</w:t>
      </w:r>
      <w:r>
        <w:rPr>
          <w:rFonts w:hint="eastAsia" w:ascii="宋体" w:hAnsi="宋体" w:eastAsia="宋体" w:cs="宋体"/>
          <w:b w:val="0"/>
          <w:bCs w:val="0"/>
          <w:color w:val="auto"/>
          <w:sz w:val="24"/>
          <w:szCs w:val="24"/>
          <w:highlight w:val="none"/>
          <w:shd w:val="clear" w:color="auto" w:fill="FFFFFF"/>
          <w:lang w:eastAsia="zh-CN"/>
        </w:rPr>
        <w:t>必须</w:t>
      </w:r>
      <w:r>
        <w:rPr>
          <w:rFonts w:hint="eastAsia" w:ascii="宋体" w:hAnsi="宋体" w:eastAsia="宋体" w:cs="宋体"/>
          <w:b w:val="0"/>
          <w:bCs w:val="0"/>
          <w:color w:val="auto"/>
          <w:sz w:val="24"/>
          <w:szCs w:val="24"/>
          <w:highlight w:val="none"/>
          <w:shd w:val="clear" w:color="auto" w:fill="FFFFFF"/>
        </w:rPr>
        <w:t>立即更换。</w:t>
      </w:r>
    </w:p>
    <w:p w14:paraId="4170B46B">
      <w:pPr>
        <w:spacing w:line="500" w:lineRule="exact"/>
        <w:ind w:firstLine="480" w:firstLineChars="200"/>
        <w:jc w:val="left"/>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供应商保证所供耗材有效期不低于</w:t>
      </w:r>
      <w:r>
        <w:rPr>
          <w:rFonts w:hint="eastAsia" w:ascii="宋体" w:hAnsi="宋体" w:eastAsia="宋体" w:cs="宋体"/>
          <w:b w:val="0"/>
          <w:bCs w:val="0"/>
          <w:color w:val="auto"/>
          <w:sz w:val="24"/>
          <w:szCs w:val="24"/>
          <w:highlight w:val="none"/>
          <w:shd w:val="clear" w:color="auto" w:fill="FFFFFF"/>
          <w:lang w:val="en-US" w:eastAsia="zh-CN"/>
        </w:rPr>
        <w:t>12月</w:t>
      </w:r>
      <w:r>
        <w:rPr>
          <w:rFonts w:hint="eastAsia" w:ascii="宋体" w:hAnsi="宋体" w:eastAsia="宋体" w:cs="宋体"/>
          <w:b w:val="0"/>
          <w:bCs w:val="0"/>
          <w:color w:val="auto"/>
          <w:sz w:val="24"/>
          <w:szCs w:val="24"/>
          <w:highlight w:val="none"/>
          <w:shd w:val="clear" w:color="auto" w:fill="FFFFFF"/>
        </w:rPr>
        <w:t>，自通过最终验收之日起，确保采购人在使用耗材的过程中安全、有效。</w:t>
      </w:r>
    </w:p>
    <w:p w14:paraId="7C604625">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lang w:eastAsia="zh-CN"/>
        </w:rPr>
        <w:t>）</w:t>
      </w:r>
      <w:r>
        <w:rPr>
          <w:rFonts w:hint="eastAsia" w:ascii="宋体" w:hAnsi="宋体" w:eastAsia="宋体" w:cs="宋体"/>
          <w:b w:val="0"/>
          <w:bCs w:val="0"/>
          <w:color w:val="auto"/>
          <w:sz w:val="24"/>
          <w:szCs w:val="24"/>
          <w:highlight w:val="none"/>
          <w:shd w:val="clear" w:color="auto" w:fill="FFFFFF"/>
        </w:rPr>
        <w:t>耗材临近失效期，采购人提前</w:t>
      </w:r>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eastAsia="宋体" w:cs="宋体"/>
          <w:b w:val="0"/>
          <w:bCs w:val="0"/>
          <w:color w:val="auto"/>
          <w:sz w:val="24"/>
          <w:szCs w:val="24"/>
          <w:highlight w:val="none"/>
          <w:shd w:val="clear" w:color="auto" w:fill="FFFFFF"/>
        </w:rPr>
        <w:t>个月向供应商提出更换，供应商须在耗材失效前</w:t>
      </w:r>
      <w:r>
        <w:rPr>
          <w:rFonts w:hint="eastAsia" w:ascii="宋体" w:hAnsi="宋体" w:eastAsia="宋体" w:cs="宋体"/>
          <w:b w:val="0"/>
          <w:bCs w:val="0"/>
          <w:color w:val="auto"/>
          <w:sz w:val="24"/>
          <w:szCs w:val="24"/>
          <w:highlight w:val="none"/>
          <w:shd w:val="clear" w:color="auto" w:fill="FFFFFF"/>
          <w:lang w:val="en-US" w:eastAsia="zh-CN"/>
        </w:rPr>
        <w:t>1</w:t>
      </w:r>
      <w:r>
        <w:rPr>
          <w:rFonts w:hint="eastAsia" w:ascii="宋体" w:hAnsi="宋体" w:eastAsia="宋体" w:cs="宋体"/>
          <w:b w:val="0"/>
          <w:bCs w:val="0"/>
          <w:color w:val="auto"/>
          <w:sz w:val="24"/>
          <w:szCs w:val="24"/>
          <w:highlight w:val="none"/>
          <w:shd w:val="clear" w:color="auto" w:fill="FFFFFF"/>
        </w:rPr>
        <w:t>个月更换完毕，不得以任何理由进行推诿。</w:t>
      </w:r>
      <w:r>
        <w:rPr>
          <w:rFonts w:hint="eastAsia" w:ascii="宋体" w:hAnsi="宋体" w:eastAsia="宋体" w:cs="宋体"/>
          <w:b w:val="0"/>
          <w:bCs w:val="0"/>
          <w:color w:val="auto"/>
          <w:sz w:val="24"/>
          <w:szCs w:val="24"/>
          <w:highlight w:val="none"/>
          <w:shd w:val="clear" w:color="auto" w:fill="auto"/>
          <w:lang w:val="en-US" w:eastAsia="zh-CN"/>
        </w:rPr>
        <w:t>并由乙方承担退换</w:t>
      </w:r>
      <w:r>
        <w:rPr>
          <w:rFonts w:hint="eastAsia" w:ascii="宋体" w:hAnsi="宋体" w:eastAsia="宋体" w:cs="宋体"/>
          <w:b w:val="0"/>
          <w:bCs w:val="0"/>
          <w:sz w:val="24"/>
          <w:szCs w:val="24"/>
          <w:shd w:val="clear" w:color="auto" w:fill="auto"/>
          <w:lang w:val="en-US" w:eastAsia="zh-CN"/>
        </w:rPr>
        <w:t>货产生的各项税、费或其他支出。</w:t>
      </w:r>
    </w:p>
    <w:p w14:paraId="4DC482EA">
      <w:pPr>
        <w:spacing w:line="50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7</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供应商提供的产品在临床使用中效果欠佳，采购人有权要求供应商更换同类产品。</w:t>
      </w:r>
    </w:p>
    <w:p w14:paraId="3D4679CF">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2、</w:t>
      </w:r>
      <w:r>
        <w:rPr>
          <w:rFonts w:hint="eastAsia" w:ascii="宋体" w:hAnsi="宋体" w:eastAsia="宋体" w:cs="宋体"/>
          <w:b w:val="0"/>
          <w:bCs w:val="0"/>
          <w:sz w:val="24"/>
          <w:szCs w:val="24"/>
          <w:shd w:val="clear" w:color="auto" w:fill="FFFFFF"/>
        </w:rPr>
        <w:t>包装要求：</w:t>
      </w:r>
    </w:p>
    <w:p w14:paraId="6638858E">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1）</w:t>
      </w:r>
      <w:r>
        <w:rPr>
          <w:rFonts w:hint="eastAsia" w:ascii="宋体" w:hAnsi="宋体" w:eastAsia="宋体" w:cs="宋体"/>
          <w:b w:val="0"/>
          <w:bCs w:val="0"/>
          <w:sz w:val="24"/>
          <w:szCs w:val="24"/>
          <w:shd w:val="clear" w:color="auto" w:fill="FFFFFF"/>
        </w:rPr>
        <w:t>供应商配送的产品应按标准保护措施进行包装，确保产品安全无损运抵指定地点。对于破损产品需按医院的要求进行及时</w:t>
      </w:r>
      <w:r>
        <w:rPr>
          <w:rFonts w:hint="eastAsia" w:ascii="宋体" w:hAnsi="宋体" w:eastAsia="宋体" w:cs="宋体"/>
          <w:b w:val="0"/>
          <w:bCs w:val="0"/>
          <w:sz w:val="24"/>
          <w:szCs w:val="24"/>
          <w:shd w:val="clear" w:color="auto" w:fill="FFFFFF"/>
          <w:lang w:eastAsia="zh-CN"/>
        </w:rPr>
        <w:t>更换</w:t>
      </w:r>
      <w:r>
        <w:rPr>
          <w:rFonts w:hint="eastAsia" w:ascii="宋体" w:hAnsi="宋体" w:eastAsia="宋体" w:cs="宋体"/>
          <w:b w:val="0"/>
          <w:bCs w:val="0"/>
          <w:sz w:val="24"/>
          <w:szCs w:val="24"/>
          <w:shd w:val="clear" w:color="auto" w:fill="FFFFFF"/>
        </w:rPr>
        <w:t>。</w:t>
      </w:r>
    </w:p>
    <w:p w14:paraId="1FC49558">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2）</w:t>
      </w:r>
      <w:r>
        <w:rPr>
          <w:rFonts w:hint="eastAsia" w:ascii="宋体" w:hAnsi="宋体" w:eastAsia="宋体" w:cs="宋体"/>
          <w:b w:val="0"/>
          <w:bCs w:val="0"/>
          <w:sz w:val="24"/>
          <w:szCs w:val="24"/>
          <w:shd w:val="clear" w:color="auto" w:fill="FFFFFF"/>
        </w:rPr>
        <w:t>产品包装袋（箱）应干净、结实、无破损、封口严密，方便储存、运输和使用；在每件包装上须注明产品注册证名称、产品注册证号、产地、生产厂家、批号、包装规格、生产日期、产品保质有效期、质量合格标志等（需无菌包装的耗材必须保证符合无菌要求）。对于破损产品需按医院的要求进行及时</w:t>
      </w:r>
      <w:r>
        <w:rPr>
          <w:rFonts w:hint="eastAsia" w:ascii="宋体" w:hAnsi="宋体" w:eastAsia="宋体" w:cs="宋体"/>
          <w:b w:val="0"/>
          <w:bCs w:val="0"/>
          <w:sz w:val="24"/>
          <w:szCs w:val="24"/>
          <w:shd w:val="clear" w:color="auto" w:fill="FFFFFF"/>
          <w:lang w:eastAsia="zh-CN"/>
        </w:rPr>
        <w:t>更换</w:t>
      </w:r>
      <w:r>
        <w:rPr>
          <w:rFonts w:hint="eastAsia" w:ascii="宋体" w:hAnsi="宋体" w:eastAsia="宋体" w:cs="宋体"/>
          <w:b w:val="0"/>
          <w:bCs w:val="0"/>
          <w:sz w:val="24"/>
          <w:szCs w:val="24"/>
          <w:shd w:val="clear" w:color="auto" w:fill="FFFFFF"/>
        </w:rPr>
        <w:t>。</w:t>
      </w:r>
    </w:p>
    <w:p w14:paraId="3B708CDC">
      <w:pPr>
        <w:spacing w:line="500" w:lineRule="exact"/>
        <w:ind w:firstLine="480" w:firstLineChars="200"/>
        <w:jc w:val="left"/>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3、配送要求：</w:t>
      </w:r>
    </w:p>
    <w:p w14:paraId="4EBDD71A">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1</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供应商需负责产品的运输、现场搬运和入库，有关运输和保险的一切费用</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运输过程中的风险</w:t>
      </w:r>
      <w:r>
        <w:rPr>
          <w:rFonts w:hint="eastAsia" w:ascii="宋体" w:hAnsi="宋体" w:eastAsia="宋体" w:cs="宋体"/>
          <w:b w:val="0"/>
          <w:bCs w:val="0"/>
          <w:sz w:val="24"/>
          <w:szCs w:val="24"/>
          <w:shd w:val="clear" w:color="auto" w:fill="FFFFFF"/>
          <w:lang w:val="en-US" w:eastAsia="zh-CN"/>
        </w:rPr>
        <w:t>均</w:t>
      </w:r>
      <w:r>
        <w:rPr>
          <w:rFonts w:hint="eastAsia" w:ascii="宋体" w:hAnsi="宋体" w:eastAsia="宋体" w:cs="宋体"/>
          <w:b w:val="0"/>
          <w:bCs w:val="0"/>
          <w:sz w:val="24"/>
          <w:szCs w:val="24"/>
          <w:shd w:val="clear" w:color="auto" w:fill="FFFFFF"/>
        </w:rPr>
        <w:t>由供应商承担。在配送合作服务期间，需按照</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规定向相关管理部门提供所有相关的质量检测报告及相应资质证件。</w:t>
      </w:r>
      <w:r>
        <w:rPr>
          <w:rFonts w:hint="eastAsia" w:ascii="宋体" w:hAnsi="宋体" w:eastAsia="宋体" w:cs="宋体"/>
          <w:b/>
          <w:bCs/>
          <w:sz w:val="24"/>
          <w:szCs w:val="24"/>
          <w:u w:val="single"/>
          <w:shd w:val="clear" w:color="auto" w:fill="FFFFFF"/>
        </w:rPr>
        <w:t>（提供承诺函）</w:t>
      </w:r>
    </w:p>
    <w:p w14:paraId="15CAA8A7">
      <w:pPr>
        <w:numPr>
          <w:ilvl w:val="0"/>
          <w:numId w:val="0"/>
        </w:num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2</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供应商应根据订单数量，按时且保质保量送达交货地点，且要保证配送产品来源渠道的合法合规性。</w:t>
      </w:r>
    </w:p>
    <w:p w14:paraId="49939061">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3</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供应商需向采购人提供及时有效的技术支持</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有良好的售后服务体系</w:t>
      </w:r>
      <w:r>
        <w:rPr>
          <w:rFonts w:hint="eastAsia" w:ascii="宋体" w:hAnsi="宋体" w:eastAsia="宋体" w:cs="宋体"/>
          <w:b w:val="0"/>
          <w:bCs w:val="0"/>
          <w:sz w:val="24"/>
          <w:szCs w:val="24"/>
          <w:shd w:val="clear" w:color="auto" w:fill="FFFFFF"/>
        </w:rPr>
        <w:t>。满足24小时内配送，在采购人要求的任意时间内送到；满足紧急情况下2小时内配送至采购人指定地点。</w:t>
      </w:r>
    </w:p>
    <w:p w14:paraId="1B44ED66">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4</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配送产品</w:t>
      </w:r>
      <w:r>
        <w:rPr>
          <w:rFonts w:hint="eastAsia" w:ascii="宋体" w:hAnsi="宋体" w:eastAsia="宋体" w:cs="宋体"/>
          <w:b w:val="0"/>
          <w:bCs w:val="0"/>
          <w:sz w:val="24"/>
          <w:szCs w:val="24"/>
          <w:shd w:val="clear" w:color="auto" w:fill="FFFFFF"/>
          <w:lang w:val="en-US" w:eastAsia="zh-CN"/>
        </w:rPr>
        <w:t>时</w:t>
      </w:r>
      <w:r>
        <w:rPr>
          <w:rFonts w:hint="eastAsia" w:ascii="宋体" w:hAnsi="宋体" w:eastAsia="宋体" w:cs="宋体"/>
          <w:b w:val="0"/>
          <w:bCs w:val="0"/>
          <w:sz w:val="24"/>
          <w:szCs w:val="24"/>
          <w:shd w:val="clear" w:color="auto" w:fill="FFFFFF"/>
        </w:rPr>
        <w:t>，采购人将对配送产品的相关国家强制要求的证书资质（产品注册证/备案凭证、生产企业许可证、经营企业许可证、营业执照等）、票据、质量合格证明、有效期、包装、中文说明书、订单数量等资料及信息进行查验，对查验不符的产品，采购人有权拒绝接收。</w:t>
      </w:r>
    </w:p>
    <w:p w14:paraId="00BAFF24">
      <w:pPr>
        <w:spacing w:line="500" w:lineRule="exact"/>
        <w:ind w:firstLine="480" w:firstLineChars="200"/>
        <w:jc w:val="left"/>
        <w:rPr>
          <w:rFonts w:hint="eastAsia" w:ascii="宋体" w:hAnsi="宋体" w:eastAsia="宋体" w:cs="宋体"/>
          <w:b w:val="0"/>
          <w:bCs w:val="0"/>
          <w:sz w:val="24"/>
          <w:szCs w:val="24"/>
          <w:shd w:val="clear" w:color="auto" w:fill="FFFFFF"/>
          <w:lang w:eastAsia="zh-CN"/>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5</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rPr>
        <w:t>供应商必须严格遵守出入库管理的相关要求和流程，积极配合</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物料采购部库管人员做好入库和结算的相关工作。</w:t>
      </w:r>
    </w:p>
    <w:p w14:paraId="5B32220A">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4、验收要求</w:t>
      </w:r>
    </w:p>
    <w:p w14:paraId="3CBD5DAF">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采购人对不符合质量、有效期、包装、订单数量和双方约定的其他要求的产品，有权拒绝接收</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验收时采购人有权对所配送产品资质、票据、质量合格证明、中文说明书原件等信息进行查验。</w:t>
      </w:r>
    </w:p>
    <w:p w14:paraId="5D956907">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5、其他要求</w:t>
      </w:r>
    </w:p>
    <w:p w14:paraId="24C55B53">
      <w:pPr>
        <w:spacing w:line="500" w:lineRule="exact"/>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sz w:val="24"/>
          <w:szCs w:val="24"/>
          <w:shd w:val="clear" w:color="auto" w:fill="FFFFFF"/>
        </w:rPr>
        <w:t>（1）</w:t>
      </w:r>
      <w:r>
        <w:rPr>
          <w:rFonts w:hint="eastAsia" w:ascii="宋体" w:hAnsi="宋体" w:eastAsia="宋体" w:cs="宋体"/>
          <w:b w:val="0"/>
          <w:bCs w:val="0"/>
          <w:sz w:val="24"/>
          <w:szCs w:val="24"/>
          <w:shd w:val="clear" w:color="auto" w:fill="FFFFFF"/>
        </w:rPr>
        <w:t>供应商应保证</w:t>
      </w:r>
      <w:r>
        <w:rPr>
          <w:rFonts w:hint="eastAsia" w:ascii="宋体" w:hAnsi="宋体" w:eastAsia="宋体" w:cs="宋体"/>
          <w:b w:val="0"/>
          <w:bCs w:val="0"/>
          <w:sz w:val="24"/>
          <w:szCs w:val="24"/>
          <w:shd w:val="clear" w:color="auto" w:fill="FFFFFF"/>
          <w:lang w:val="en-US" w:eastAsia="zh-CN"/>
        </w:rPr>
        <w:t>采购人</w:t>
      </w:r>
      <w:r>
        <w:rPr>
          <w:rFonts w:hint="eastAsia" w:ascii="宋体" w:hAnsi="宋体" w:eastAsia="宋体" w:cs="宋体"/>
          <w:b w:val="0"/>
          <w:bCs w:val="0"/>
          <w:sz w:val="24"/>
          <w:szCs w:val="24"/>
          <w:shd w:val="clear" w:color="auto" w:fill="FFFFFF"/>
        </w:rPr>
        <w:t>在使用配送产品时免受第三方提出的有关专利权、商标权、销售权或保护期等方面的权利要求。</w:t>
      </w:r>
    </w:p>
    <w:p w14:paraId="048A1828">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供应商必须遵守采购人关于耗材管理的相关规定，提供的耗材需与</w:t>
      </w: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现有的设备设施相匹配。</w:t>
      </w:r>
    </w:p>
    <w:p w14:paraId="02FD6597">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3</w:t>
      </w:r>
      <w:r>
        <w:rPr>
          <w:rFonts w:hint="eastAsia" w:ascii="宋体" w:hAnsi="宋体" w:eastAsia="宋体" w:cs="宋体"/>
          <w:sz w:val="24"/>
          <w:szCs w:val="24"/>
          <w:shd w:val="clear" w:color="auto" w:fill="FFFFFF"/>
        </w:rPr>
        <w:t>）如遇集中采购、政府带量采购等国家相关政策变化或</w:t>
      </w:r>
      <w:r>
        <w:rPr>
          <w:rFonts w:hint="eastAsia" w:ascii="宋体" w:hAnsi="宋体" w:eastAsia="宋体" w:cs="宋体"/>
          <w:sz w:val="24"/>
          <w:szCs w:val="24"/>
          <w:shd w:val="clear" w:color="auto" w:fill="FFFFFF"/>
          <w:lang w:eastAsia="zh-CN"/>
        </w:rPr>
        <w:t>采购人</w:t>
      </w:r>
      <w:r>
        <w:rPr>
          <w:rFonts w:hint="eastAsia" w:ascii="宋体" w:hAnsi="宋体" w:eastAsia="宋体" w:cs="宋体"/>
          <w:sz w:val="24"/>
          <w:szCs w:val="24"/>
          <w:shd w:val="clear" w:color="auto" w:fill="FFFFFF"/>
        </w:rPr>
        <w:t>制度管理变更需要发生调整，</w:t>
      </w: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有权立即终止合同，并执行最新的政策和要求，</w:t>
      </w:r>
      <w:r>
        <w:rPr>
          <w:rFonts w:hint="eastAsia" w:ascii="宋体" w:hAnsi="宋体" w:eastAsia="宋体" w:cs="宋体"/>
          <w:sz w:val="24"/>
          <w:szCs w:val="24"/>
          <w:shd w:val="clear" w:color="auto" w:fill="FFFFFF"/>
          <w:lang w:val="en-US" w:eastAsia="zh-CN"/>
        </w:rPr>
        <w:t>供应商</w:t>
      </w:r>
      <w:r>
        <w:rPr>
          <w:rFonts w:hint="eastAsia" w:ascii="宋体" w:hAnsi="宋体" w:eastAsia="宋体" w:cs="宋体"/>
          <w:sz w:val="24"/>
          <w:szCs w:val="24"/>
          <w:shd w:val="clear" w:color="auto" w:fill="FFFFFF"/>
        </w:rPr>
        <w:t>不得要求</w:t>
      </w:r>
      <w:r>
        <w:rPr>
          <w:rFonts w:hint="eastAsia" w:ascii="宋体" w:hAnsi="宋体" w:eastAsia="宋体" w:cs="宋体"/>
          <w:sz w:val="24"/>
          <w:szCs w:val="24"/>
          <w:shd w:val="clear" w:color="auto" w:fill="FFFFFF"/>
          <w:lang w:val="en-US" w:eastAsia="zh-CN"/>
        </w:rPr>
        <w:t>采购人</w:t>
      </w:r>
      <w:r>
        <w:rPr>
          <w:rFonts w:hint="eastAsia" w:ascii="宋体" w:hAnsi="宋体" w:eastAsia="宋体" w:cs="宋体"/>
          <w:sz w:val="24"/>
          <w:szCs w:val="24"/>
          <w:shd w:val="clear" w:color="auto" w:fill="FFFFFF"/>
        </w:rPr>
        <w:t>承担违约责任。</w:t>
      </w:r>
    </w:p>
    <w:p w14:paraId="00A249A5">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rPr>
        <w:t>）纳入四川省医疗保障信息大数据一体化平台药品和医用耗材招采管理子系统（招采子系统）目录内的产品，实行集中挂网采购</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供应商必须保证其配送产品平台数据的顺利上报。</w:t>
      </w:r>
    </w:p>
    <w:p w14:paraId="7C4F7E35">
      <w:pPr>
        <w:spacing w:line="500" w:lineRule="exact"/>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）如遇上级主管单位或国家相关监督管理部门调整涉及产品采购方式，将按照上级主管部门或国家相关监督管理部门要求无条件执行，相关风险由</w:t>
      </w:r>
      <w:r>
        <w:rPr>
          <w:rFonts w:hint="eastAsia" w:ascii="宋体" w:hAnsi="宋体" w:eastAsia="宋体" w:cs="宋体"/>
          <w:sz w:val="24"/>
          <w:szCs w:val="24"/>
          <w:shd w:val="clear" w:color="auto" w:fill="FFFFFF"/>
          <w:lang w:val="en-US" w:eastAsia="zh-CN"/>
        </w:rPr>
        <w:t>供应商</w:t>
      </w:r>
      <w:r>
        <w:rPr>
          <w:rFonts w:hint="eastAsia" w:ascii="宋体" w:hAnsi="宋体" w:eastAsia="宋体" w:cs="宋体"/>
          <w:sz w:val="24"/>
          <w:szCs w:val="24"/>
          <w:shd w:val="clear" w:color="auto" w:fill="FFFFFF"/>
        </w:rPr>
        <w:t>承担，</w:t>
      </w:r>
      <w:r>
        <w:rPr>
          <w:rFonts w:hint="eastAsia" w:ascii="宋体" w:hAnsi="宋体" w:eastAsia="宋体" w:cs="宋体"/>
          <w:sz w:val="24"/>
          <w:szCs w:val="24"/>
          <w:shd w:val="clear" w:color="auto" w:fill="FFFFFF"/>
          <w:lang w:val="en-US" w:eastAsia="zh-CN"/>
        </w:rPr>
        <w:t>供应商</w:t>
      </w:r>
      <w:r>
        <w:rPr>
          <w:rFonts w:hint="eastAsia" w:ascii="宋体" w:hAnsi="宋体" w:eastAsia="宋体" w:cs="宋体"/>
          <w:sz w:val="24"/>
          <w:szCs w:val="24"/>
          <w:shd w:val="clear" w:color="auto" w:fill="FFFFFF"/>
        </w:rPr>
        <w:t>的报价应对相关风险进行考虑。</w:t>
      </w:r>
    </w:p>
    <w:p w14:paraId="18E02BDF">
      <w:pPr>
        <w:spacing w:line="500" w:lineRule="exact"/>
        <w:ind w:firstLine="480" w:firstLineChars="200"/>
        <w:jc w:val="left"/>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）单年配送耗材金额达到单年预算金额的90%时，供应商应在</w:t>
      </w:r>
      <w:r>
        <w:rPr>
          <w:rFonts w:hint="eastAsia" w:ascii="宋体" w:hAnsi="宋体" w:eastAsia="宋体" w:cs="宋体"/>
          <w:sz w:val="24"/>
          <w:szCs w:val="24"/>
          <w:highlight w:val="none"/>
          <w:shd w:val="clear" w:color="auto" w:fill="FFFFFF"/>
          <w:lang w:val="en-US" w:eastAsia="zh-CN"/>
        </w:rPr>
        <w:t>5</w:t>
      </w:r>
      <w:r>
        <w:rPr>
          <w:rFonts w:hint="eastAsia" w:ascii="宋体" w:hAnsi="宋体" w:eastAsia="宋体" w:cs="宋体"/>
          <w:sz w:val="24"/>
          <w:szCs w:val="24"/>
          <w:highlight w:val="none"/>
          <w:shd w:val="clear" w:color="auto" w:fill="FFFFFF"/>
        </w:rPr>
        <w:t>日内提醒采购人配送耗材进度；若未及时提醒，造成费用无法支付、合同提前终止等一切后果由供应商自行承担。</w:t>
      </w:r>
    </w:p>
    <w:p w14:paraId="01449859">
      <w:pPr>
        <w:spacing w:line="360" w:lineRule="auto"/>
        <w:ind w:firstLine="480" w:firstLineChars="200"/>
        <w:jc w:val="left"/>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lang w:val="en-US" w:eastAsia="zh-CN"/>
        </w:rPr>
        <w:t>（7）</w:t>
      </w:r>
      <w:r>
        <w:rPr>
          <w:rFonts w:hint="eastAsia" w:ascii="宋体" w:hAnsi="宋体" w:eastAsia="宋体" w:cs="宋体"/>
          <w:kern w:val="2"/>
          <w:sz w:val="24"/>
          <w:szCs w:val="24"/>
          <w:shd w:val="clear" w:color="auto" w:fill="FFFFFF"/>
        </w:rPr>
        <w:t>供应商</w:t>
      </w:r>
      <w:r>
        <w:rPr>
          <w:rFonts w:hint="eastAsia" w:ascii="宋体" w:hAnsi="宋体" w:eastAsia="宋体" w:cs="宋体"/>
          <w:kern w:val="2"/>
          <w:sz w:val="24"/>
          <w:szCs w:val="24"/>
          <w:shd w:val="clear" w:color="auto" w:fill="FFFFFF"/>
          <w:lang w:val="en-US" w:eastAsia="zh-CN"/>
        </w:rPr>
        <w:t>工作</w:t>
      </w:r>
      <w:r>
        <w:rPr>
          <w:rFonts w:hint="eastAsia" w:ascii="宋体" w:hAnsi="宋体" w:eastAsia="宋体" w:cs="宋体"/>
          <w:kern w:val="2"/>
          <w:sz w:val="24"/>
          <w:szCs w:val="24"/>
          <w:shd w:val="clear" w:color="auto" w:fill="FFFFFF"/>
        </w:rPr>
        <w:t>人员应当遵守采购人的规章制度，尽职尽责，提供最优质的服务，应尽安全注意义务，避免不必要的损失，</w:t>
      </w:r>
      <w:r>
        <w:rPr>
          <w:rFonts w:hint="eastAsia" w:ascii="宋体" w:hAnsi="宋体" w:eastAsia="宋体" w:cs="宋体"/>
          <w:kern w:val="2"/>
          <w:sz w:val="24"/>
          <w:szCs w:val="24"/>
          <w:shd w:val="clear" w:color="auto" w:fill="FFFFFF"/>
          <w:lang w:val="en-US" w:eastAsia="zh-CN"/>
        </w:rPr>
        <w:t>运输、配送</w:t>
      </w:r>
      <w:r>
        <w:rPr>
          <w:rFonts w:hint="eastAsia" w:ascii="宋体" w:hAnsi="宋体" w:eastAsia="宋体" w:cs="宋体"/>
          <w:kern w:val="2"/>
          <w:sz w:val="24"/>
          <w:szCs w:val="24"/>
          <w:shd w:val="clear" w:color="auto" w:fill="FFFFFF"/>
        </w:rPr>
        <w:t>期间因供应商人员造成采购人或者第三人损失的，由供应商承担责任。</w:t>
      </w:r>
    </w:p>
    <w:p w14:paraId="586606C5">
      <w:pPr>
        <w:spacing w:line="360" w:lineRule="auto"/>
        <w:ind w:firstLine="480" w:firstLineChars="200"/>
        <w:jc w:val="left"/>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w:t>
      </w:r>
      <w:r>
        <w:rPr>
          <w:rFonts w:hint="eastAsia" w:ascii="宋体" w:hAnsi="宋体" w:eastAsia="宋体" w:cs="宋体"/>
          <w:b w:val="0"/>
          <w:bCs w:val="0"/>
          <w:kern w:val="0"/>
          <w:sz w:val="24"/>
          <w:szCs w:val="24"/>
          <w:shd w:val="clear" w:color="auto" w:fill="FFFFFF"/>
          <w:lang w:val="en-US" w:eastAsia="zh-CN"/>
        </w:rPr>
        <w:t>8</w:t>
      </w:r>
      <w:r>
        <w:rPr>
          <w:rFonts w:hint="eastAsia" w:ascii="宋体" w:hAnsi="宋体" w:eastAsia="宋体" w:cs="宋体"/>
          <w:b w:val="0"/>
          <w:bCs w:val="0"/>
          <w:kern w:val="0"/>
          <w:sz w:val="24"/>
          <w:szCs w:val="24"/>
          <w:shd w:val="clear" w:color="auto" w:fill="FFFFFF"/>
        </w:rPr>
        <w:t>） 成交耗材在合同有效期内，因各种原因不能生产，造成不能及时配送的；经采购人医用耗材管理部门同意，供应商应无条件提供同质量的耗材替代，以保证医院的正常使用。若是挂网耗材，更换后的耗材结算价格不得高于原耗材的中标（成交）价格和更换后耗材的挂网最低价；若是非挂网耗材，双方应经谈价小组确定结算价格，但不得高于原成交价格。</w:t>
      </w:r>
    </w:p>
    <w:p w14:paraId="5E51409C">
      <w:pPr>
        <w:spacing w:line="360" w:lineRule="auto"/>
        <w:ind w:firstLine="482" w:firstLineChars="200"/>
        <w:jc w:val="left"/>
        <w:rPr>
          <w:rFonts w:hint="eastAsia" w:ascii="宋体" w:hAnsi="宋体" w:eastAsia="宋体" w:cs="宋体"/>
          <w:b/>
          <w:bCs/>
          <w:color w:val="000000"/>
          <w:kern w:val="0"/>
          <w:sz w:val="24"/>
          <w:szCs w:val="24"/>
        </w:rPr>
      </w:pPr>
      <w:r>
        <w:rPr>
          <w:rFonts w:hint="eastAsia" w:hAnsi="宋体" w:eastAsia="宋体" w:cs="宋体"/>
          <w:b/>
          <w:bCs/>
          <w:color w:val="000000"/>
          <w:kern w:val="0"/>
          <w:sz w:val="24"/>
          <w:szCs w:val="24"/>
          <w:lang w:eastAsia="zh-CN"/>
        </w:rPr>
        <w:t>★四</w:t>
      </w:r>
      <w:r>
        <w:rPr>
          <w:rFonts w:hint="eastAsia" w:ascii="宋体" w:hAnsi="宋体" w:eastAsia="宋体" w:cs="宋体"/>
          <w:b/>
          <w:bCs/>
          <w:color w:val="000000"/>
          <w:kern w:val="0"/>
          <w:sz w:val="24"/>
          <w:szCs w:val="24"/>
        </w:rPr>
        <w:t>、商务要求</w:t>
      </w:r>
    </w:p>
    <w:p w14:paraId="5DF97F47">
      <w:pPr>
        <w:numPr>
          <w:ilvl w:val="0"/>
          <w:numId w:val="0"/>
        </w:numPr>
        <w:spacing w:line="360" w:lineRule="auto"/>
        <w:ind w:firstLine="480" w:firstLineChars="200"/>
        <w:jc w:val="left"/>
        <w:rPr>
          <w:rFonts w:hint="eastAsia" w:ascii="宋体" w:hAnsi="宋体" w:eastAsia="宋体" w:cs="宋体"/>
          <w:b w:val="0"/>
          <w:bCs w:val="0"/>
          <w:sz w:val="24"/>
          <w:szCs w:val="24"/>
          <w:shd w:val="clear" w:color="auto" w:fill="FFFFFF"/>
          <w:lang w:eastAsia="zh-CN"/>
        </w:rPr>
      </w:pPr>
      <w:r>
        <w:rPr>
          <w:rFonts w:hint="eastAsia" w:ascii="宋体" w:hAnsi="宋体" w:eastAsia="宋体" w:cs="宋体"/>
          <w:b w:val="0"/>
          <w:bCs w:val="0"/>
          <w:sz w:val="24"/>
          <w:szCs w:val="24"/>
          <w:shd w:val="clear" w:color="auto" w:fill="FFFFFF"/>
          <w:lang w:val="en-US" w:eastAsia="zh-CN" w:bidi="ar-SA"/>
        </w:rPr>
        <w:t>1、</w:t>
      </w:r>
      <w:r>
        <w:rPr>
          <w:rFonts w:hint="eastAsia" w:ascii="宋体" w:hAnsi="宋体" w:eastAsia="宋体" w:cs="宋体"/>
          <w:b w:val="0"/>
          <w:bCs w:val="0"/>
          <w:sz w:val="24"/>
          <w:szCs w:val="24"/>
          <w:shd w:val="clear" w:color="auto" w:fill="FFFFFF"/>
        </w:rPr>
        <w:t>服务期限：合同签订之日起</w:t>
      </w:r>
      <w:r>
        <w:rPr>
          <w:rFonts w:hint="eastAsia" w:ascii="宋体" w:hAnsi="宋体" w:eastAsia="宋体"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年</w:t>
      </w: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年度考核合格后续签下一年合同</w:t>
      </w:r>
      <w:r>
        <w:rPr>
          <w:rFonts w:hint="eastAsia" w:hAnsi="宋体" w:cs="宋体"/>
          <w:b w:val="0"/>
          <w:bCs w:val="0"/>
          <w:sz w:val="24"/>
          <w:szCs w:val="24"/>
          <w:shd w:val="clear" w:color="auto" w:fill="FFFFFF"/>
          <w:lang w:val="en-US" w:eastAsia="zh-CN"/>
        </w:rPr>
        <w:t>,</w:t>
      </w:r>
      <w:r>
        <w:rPr>
          <w:rFonts w:hint="eastAsia" w:ascii="宋体" w:hAnsi="宋体" w:eastAsia="宋体" w:cs="宋体"/>
          <w:b w:val="0"/>
          <w:bCs w:val="0"/>
          <w:sz w:val="24"/>
          <w:szCs w:val="24"/>
          <w:shd w:val="clear" w:color="auto" w:fill="FFFFFF"/>
          <w:lang w:eastAsia="zh-CN"/>
        </w:rPr>
        <w:t>合同一年一签。</w:t>
      </w:r>
    </w:p>
    <w:p w14:paraId="45A8CB35">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2、服务地点：采购人指定地点。</w:t>
      </w:r>
    </w:p>
    <w:p w14:paraId="2468E5C7">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hAnsi="宋体" w:eastAsia="宋体" w:cs="宋体"/>
          <w:b w:val="0"/>
          <w:bCs w:val="0"/>
          <w:sz w:val="24"/>
          <w:szCs w:val="24"/>
          <w:shd w:val="clear" w:color="auto" w:fill="FFFFFF"/>
          <w:lang w:val="en-US" w:eastAsia="zh-CN"/>
        </w:rPr>
        <w:t>3</w:t>
      </w:r>
      <w:r>
        <w:rPr>
          <w:rFonts w:hint="eastAsia" w:ascii="宋体" w:hAnsi="宋体" w:eastAsia="宋体" w:cs="宋体"/>
          <w:b w:val="0"/>
          <w:bCs w:val="0"/>
          <w:sz w:val="24"/>
          <w:szCs w:val="24"/>
          <w:shd w:val="clear" w:color="auto" w:fill="FFFFFF"/>
        </w:rPr>
        <w:t>、报价要求：每个产品报价均不能高于该投标产品在“四川省医疗保障信息大数据一体化平台药品和医用耗材招采管理子系统（招采子系统）”的挂网最低价格</w:t>
      </w:r>
      <w:r>
        <w:rPr>
          <w:rFonts w:hint="eastAsia" w:ascii="宋体" w:hAnsi="宋体" w:eastAsia="宋体" w:cs="宋体"/>
          <w:b w:val="0"/>
          <w:bCs w:val="0"/>
          <w:sz w:val="24"/>
          <w:szCs w:val="24"/>
          <w:shd w:val="clear" w:color="auto" w:fill="FFFFFF"/>
          <w:lang w:val="en-US" w:eastAsia="zh-CN"/>
        </w:rPr>
        <w:t>或</w:t>
      </w:r>
      <w:r>
        <w:rPr>
          <w:rFonts w:hint="eastAsia" w:ascii="宋体" w:hAnsi="宋体" w:eastAsia="宋体" w:cs="宋体"/>
          <w:b w:val="0"/>
          <w:bCs w:val="0"/>
          <w:sz w:val="24"/>
          <w:szCs w:val="24"/>
          <w:shd w:val="clear" w:color="auto" w:fill="FFFFFF"/>
        </w:rPr>
        <w:t>本招标文件的最高单价限价。</w:t>
      </w:r>
    </w:p>
    <w:p w14:paraId="49C54D77">
      <w:pPr>
        <w:spacing w:line="360" w:lineRule="auto"/>
        <w:ind w:firstLine="480" w:firstLineChars="200"/>
        <w:jc w:val="left"/>
        <w:rPr>
          <w:rFonts w:hint="eastAsia" w:ascii="宋体" w:hAnsi="宋体" w:eastAsia="宋体" w:cs="宋体"/>
          <w:b w:val="0"/>
          <w:bCs w:val="0"/>
          <w:sz w:val="24"/>
          <w:szCs w:val="24"/>
          <w:highlight w:val="red"/>
          <w:shd w:val="clear" w:color="auto" w:fill="FFFFFF"/>
        </w:rPr>
      </w:pPr>
      <w:r>
        <w:rPr>
          <w:rFonts w:hint="eastAsia" w:ascii="宋体" w:hAnsi="宋体" w:eastAsia="宋体" w:cs="宋体"/>
          <w:color w:val="auto"/>
          <w:sz w:val="24"/>
          <w:szCs w:val="24"/>
          <w:highlight w:val="none"/>
          <w:u w:val="none"/>
          <w:lang w:val="en-US" w:eastAsia="zh-CN" w:bidi="ar"/>
        </w:rPr>
        <w:t>本项目报价包含但不限于：产品、包装、运输、人工、管理费、服务费、保险、税金、利润以及采购代理服务费等一切完成本项目的费用，采购人不再额外支付其他任何费用。</w:t>
      </w:r>
    </w:p>
    <w:p w14:paraId="72928C7F">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4</w:t>
      </w:r>
      <w:r>
        <w:rPr>
          <w:rFonts w:hint="eastAsia" w:ascii="宋体" w:hAnsi="宋体" w:eastAsia="宋体" w:cs="宋体"/>
          <w:b w:val="0"/>
          <w:bCs w:val="0"/>
          <w:sz w:val="24"/>
          <w:szCs w:val="24"/>
          <w:shd w:val="clear" w:color="auto" w:fill="FFFFFF"/>
        </w:rPr>
        <w:t>、结算方式</w:t>
      </w:r>
    </w:p>
    <w:p w14:paraId="24CF3497">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（1）分批次据实结算。</w:t>
      </w:r>
    </w:p>
    <w:p w14:paraId="61D1100A">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（2）结算金额=∑各品种配送时确定的单价（单价按照本项目成交价</w:t>
      </w:r>
      <w:r>
        <w:rPr>
          <w:rFonts w:hint="eastAsia" w:ascii="宋体" w:hAnsi="宋体" w:eastAsia="宋体" w:cs="宋体"/>
          <w:b w:val="0"/>
          <w:bCs w:val="0"/>
          <w:sz w:val="24"/>
          <w:szCs w:val="24"/>
          <w:highlight w:val="none"/>
          <w:shd w:val="clear" w:color="auto" w:fill="FFFFFF"/>
          <w:lang w:val="en-US" w:eastAsia="zh-CN"/>
        </w:rPr>
        <w:t>或</w:t>
      </w:r>
      <w:r>
        <w:rPr>
          <w:rFonts w:hint="eastAsia" w:ascii="宋体" w:hAnsi="宋体" w:eastAsia="宋体" w:cs="宋体"/>
          <w:b w:val="0"/>
          <w:bCs w:val="0"/>
          <w:sz w:val="24"/>
          <w:szCs w:val="24"/>
          <w:highlight w:val="none"/>
          <w:shd w:val="clear" w:color="auto" w:fill="FFFFFF"/>
        </w:rPr>
        <w:t>挂网采购价中更低的价格执行）×各品种实际入库数量。</w:t>
      </w:r>
    </w:p>
    <w:p w14:paraId="68A59885">
      <w:pPr>
        <w:spacing w:line="360" w:lineRule="auto"/>
        <w:ind w:firstLine="480" w:firstLineChars="20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shd w:val="clear" w:color="auto" w:fill="FFFFFF"/>
        </w:rPr>
        <w:t>（3）分批结算，滚动式、货到验收(节假日除外)合格并开具发票 360天后付款</w:t>
      </w:r>
      <w:r>
        <w:rPr>
          <w:rFonts w:hint="eastAsia" w:hAnsi="宋体" w:cs="宋体"/>
          <w:b w:val="0"/>
          <w:bCs w:val="0"/>
          <w:sz w:val="24"/>
          <w:szCs w:val="24"/>
          <w:highlight w:val="none"/>
          <w:shd w:val="clear" w:color="auto" w:fill="FFFFFF"/>
          <w:lang w:eastAsia="zh-CN"/>
        </w:rPr>
        <w:t>。</w:t>
      </w:r>
    </w:p>
    <w:p w14:paraId="6ECBCB1D">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5</w:t>
      </w:r>
      <w:r>
        <w:rPr>
          <w:rFonts w:hint="eastAsia" w:ascii="宋体" w:hAnsi="宋体" w:eastAsia="宋体" w:cs="宋体"/>
          <w:b w:val="0"/>
          <w:bCs w:val="0"/>
          <w:sz w:val="24"/>
          <w:szCs w:val="24"/>
          <w:highlight w:val="none"/>
          <w:shd w:val="clear" w:color="auto" w:fill="FFFFFF"/>
        </w:rPr>
        <w:t>、缔约过失责任</w:t>
      </w:r>
    </w:p>
    <w:p w14:paraId="71C2A615">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供应商无正当理由未能在规定时间内与采购人签订合同的，需向采购人支付中标（成交）金额30%的</w:t>
      </w:r>
      <w:r>
        <w:rPr>
          <w:rFonts w:hint="eastAsia" w:ascii="宋体" w:hAnsi="宋体" w:eastAsia="宋体" w:cs="宋体"/>
          <w:b w:val="0"/>
          <w:bCs w:val="0"/>
          <w:sz w:val="24"/>
          <w:szCs w:val="24"/>
          <w:highlight w:val="none"/>
          <w:shd w:val="clear" w:color="auto" w:fill="FFFFFF"/>
          <w:lang w:val="en-US" w:eastAsia="zh-CN"/>
        </w:rPr>
        <w:t>赔偿金</w:t>
      </w:r>
      <w:r>
        <w:rPr>
          <w:rFonts w:hint="eastAsia" w:ascii="宋体" w:hAnsi="宋体" w:eastAsia="宋体" w:cs="宋体"/>
          <w:b w:val="0"/>
          <w:bCs w:val="0"/>
          <w:sz w:val="24"/>
          <w:szCs w:val="24"/>
          <w:highlight w:val="none"/>
          <w:shd w:val="clear" w:color="auto" w:fill="FFFFFF"/>
        </w:rPr>
        <w:t>。</w:t>
      </w:r>
      <w:r>
        <w:rPr>
          <w:rFonts w:hint="eastAsia" w:ascii="宋体" w:hAnsi="宋体" w:eastAsia="宋体" w:cs="宋体"/>
          <w:b w:val="0"/>
          <w:bCs w:val="0"/>
          <w:sz w:val="24"/>
          <w:szCs w:val="24"/>
          <w:highlight w:val="none"/>
          <w:shd w:val="clear" w:color="auto" w:fill="FFFFFF"/>
          <w:lang w:val="en-US" w:eastAsia="zh-CN"/>
        </w:rPr>
        <w:t>赔偿金</w:t>
      </w:r>
      <w:r>
        <w:rPr>
          <w:rFonts w:hint="eastAsia" w:ascii="宋体" w:hAnsi="宋体" w:eastAsia="宋体" w:cs="宋体"/>
          <w:b w:val="0"/>
          <w:bCs w:val="0"/>
          <w:sz w:val="24"/>
          <w:szCs w:val="24"/>
          <w:highlight w:val="none"/>
          <w:shd w:val="clear" w:color="auto" w:fill="FFFFFF"/>
        </w:rPr>
        <w:t>不足以弥补采购人全部损失的，还应赔偿采购人全部损失。</w:t>
      </w:r>
    </w:p>
    <w:p w14:paraId="6B95A983">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6</w:t>
      </w:r>
      <w:r>
        <w:rPr>
          <w:rFonts w:hint="eastAsia" w:ascii="宋体" w:hAnsi="宋体" w:eastAsia="宋体" w:cs="宋体"/>
          <w:b w:val="0"/>
          <w:bCs w:val="0"/>
          <w:sz w:val="24"/>
          <w:szCs w:val="24"/>
          <w:highlight w:val="none"/>
          <w:shd w:val="clear" w:color="auto" w:fill="FFFFFF"/>
        </w:rPr>
        <w:t>、违约责任</w:t>
      </w:r>
      <w:r>
        <w:rPr>
          <w:rFonts w:hint="eastAsia" w:ascii="宋体" w:hAnsi="宋体" w:eastAsia="宋体" w:cs="宋体"/>
          <w:b w:val="0"/>
          <w:bCs w:val="0"/>
          <w:sz w:val="24"/>
          <w:szCs w:val="24"/>
          <w:highlight w:val="none"/>
          <w:shd w:val="clear" w:color="auto" w:fill="FFFFFF"/>
          <w:lang w:eastAsia="zh-CN"/>
        </w:rPr>
        <w:t>：</w:t>
      </w:r>
    </w:p>
    <w:p w14:paraId="6E0641D6">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（1）采购人违约责任：</w:t>
      </w:r>
    </w:p>
    <w:p w14:paraId="36ACF352">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①采购人无正当理由拒收</w:t>
      </w:r>
      <w:r>
        <w:rPr>
          <w:rFonts w:hint="eastAsia" w:ascii="宋体" w:hAnsi="宋体" w:eastAsia="宋体" w:cs="宋体"/>
          <w:b w:val="0"/>
          <w:bCs w:val="0"/>
          <w:sz w:val="24"/>
          <w:szCs w:val="24"/>
          <w:highlight w:val="none"/>
          <w:shd w:val="clear" w:color="auto" w:fill="FFFFFF"/>
          <w:lang w:val="en-US" w:eastAsia="zh-CN"/>
        </w:rPr>
        <w:t>配送试剂、耗材或拒绝供应商进场履约</w:t>
      </w:r>
      <w:r>
        <w:rPr>
          <w:rFonts w:hint="eastAsia" w:ascii="宋体" w:hAnsi="宋体" w:eastAsia="宋体" w:cs="宋体"/>
          <w:b w:val="0"/>
          <w:bCs w:val="0"/>
          <w:sz w:val="24"/>
          <w:szCs w:val="24"/>
          <w:highlight w:val="none"/>
          <w:shd w:val="clear" w:color="auto" w:fill="FFFFFF"/>
        </w:rPr>
        <w:t>的，采购人应</w:t>
      </w:r>
      <w:r>
        <w:rPr>
          <w:rFonts w:hint="eastAsia" w:ascii="宋体" w:hAnsi="宋体" w:eastAsia="宋体" w:cs="宋体"/>
          <w:b w:val="0"/>
          <w:bCs w:val="0"/>
          <w:sz w:val="24"/>
          <w:szCs w:val="24"/>
          <w:highlight w:val="none"/>
          <w:shd w:val="clear" w:color="auto" w:fill="FFFFFF"/>
          <w:lang w:val="en-US" w:eastAsia="zh-CN"/>
        </w:rPr>
        <w:t>支付</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金额2</w:t>
      </w:r>
      <w:r>
        <w:rPr>
          <w:rFonts w:hint="eastAsia" w:ascii="宋体" w:hAnsi="宋体" w:eastAsia="宋体" w:cs="宋体"/>
          <w:b w:val="0"/>
          <w:bCs w:val="0"/>
          <w:sz w:val="24"/>
          <w:szCs w:val="24"/>
          <w:highlight w:val="none"/>
          <w:shd w:val="clear" w:color="auto" w:fill="FFFFFF"/>
        </w:rPr>
        <w:t>0％</w:t>
      </w:r>
      <w:r>
        <w:rPr>
          <w:rFonts w:hint="eastAsia" w:ascii="宋体" w:hAnsi="宋体" w:eastAsia="宋体" w:cs="宋体"/>
          <w:b w:val="0"/>
          <w:bCs w:val="0"/>
          <w:sz w:val="24"/>
          <w:szCs w:val="24"/>
          <w:highlight w:val="none"/>
          <w:shd w:val="clear" w:color="auto" w:fill="FFFFFF"/>
          <w:lang w:val="en-US" w:eastAsia="zh-CN"/>
        </w:rPr>
        <w:t>的</w:t>
      </w:r>
      <w:r>
        <w:rPr>
          <w:rFonts w:hint="eastAsia" w:ascii="宋体" w:hAnsi="宋体" w:eastAsia="宋体" w:cs="宋体"/>
          <w:b w:val="0"/>
          <w:bCs w:val="0"/>
          <w:sz w:val="24"/>
          <w:szCs w:val="24"/>
          <w:highlight w:val="none"/>
          <w:shd w:val="clear" w:color="auto" w:fill="FFFFFF"/>
        </w:rPr>
        <w:t>违约金；</w:t>
      </w:r>
    </w:p>
    <w:p w14:paraId="184F464E">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②采购人无正当理由</w:t>
      </w:r>
      <w:r>
        <w:rPr>
          <w:rFonts w:hint="eastAsia" w:ascii="宋体" w:hAnsi="宋体" w:eastAsia="宋体" w:cs="宋体"/>
          <w:b w:val="0"/>
          <w:bCs w:val="0"/>
          <w:sz w:val="24"/>
          <w:szCs w:val="24"/>
          <w:highlight w:val="none"/>
          <w:shd w:val="clear" w:color="auto" w:fill="FFFFFF"/>
          <w:lang w:val="en-US" w:eastAsia="zh-CN"/>
        </w:rPr>
        <w:t>未按时支付当批次服务费用的，</w:t>
      </w:r>
      <w:r>
        <w:rPr>
          <w:rFonts w:hint="eastAsia" w:ascii="宋体" w:hAnsi="宋体" w:eastAsia="宋体" w:cs="宋体"/>
          <w:b w:val="0"/>
          <w:bCs w:val="0"/>
          <w:sz w:val="24"/>
          <w:szCs w:val="24"/>
          <w:highlight w:val="none"/>
          <w:shd w:val="clear" w:color="auto" w:fill="FFFFFF"/>
        </w:rPr>
        <w:t>应按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rPr>
        <w:t>金额</w:t>
      </w:r>
      <w:r>
        <w:rPr>
          <w:rFonts w:hint="eastAsia" w:ascii="宋体" w:hAnsi="宋体" w:eastAsia="宋体" w:cs="宋体"/>
          <w:b w:val="0"/>
          <w:bCs w:val="0"/>
          <w:sz w:val="24"/>
          <w:szCs w:val="24"/>
          <w:highlight w:val="none"/>
          <w:shd w:val="clear" w:color="auto" w:fill="FFFFFF"/>
          <w:lang w:val="en-US" w:eastAsia="zh-CN"/>
        </w:rPr>
        <w:t>的2</w:t>
      </w:r>
      <w:r>
        <w:rPr>
          <w:rFonts w:hint="eastAsia" w:ascii="宋体" w:hAnsi="宋体" w:eastAsia="宋体" w:cs="宋体"/>
          <w:b w:val="0"/>
          <w:bCs w:val="0"/>
          <w:sz w:val="24"/>
          <w:szCs w:val="24"/>
          <w:highlight w:val="none"/>
          <w:shd w:val="clear" w:color="auto" w:fill="FFFFFF"/>
        </w:rPr>
        <w:t>0%支付违约金</w:t>
      </w:r>
      <w:r>
        <w:rPr>
          <w:rFonts w:hint="eastAsia" w:ascii="宋体" w:hAnsi="宋体" w:eastAsia="宋体" w:cs="宋体"/>
          <w:b w:val="0"/>
          <w:bCs w:val="0"/>
          <w:sz w:val="24"/>
          <w:szCs w:val="24"/>
          <w:highlight w:val="none"/>
          <w:shd w:val="clear" w:color="auto" w:fill="FFFFFF"/>
          <w:lang w:eastAsia="zh-CN"/>
        </w:rPr>
        <w:t>。</w:t>
      </w:r>
    </w:p>
    <w:p w14:paraId="6610065F">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（2）供应商违约责任：</w:t>
      </w:r>
    </w:p>
    <w:p w14:paraId="12DEEAEB">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①供应商签订合同后拒不履约的，按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w:t>
      </w:r>
      <w:r>
        <w:rPr>
          <w:rFonts w:hint="eastAsia" w:ascii="宋体" w:hAnsi="宋体" w:eastAsia="宋体" w:cs="宋体"/>
          <w:b w:val="0"/>
          <w:bCs w:val="0"/>
          <w:sz w:val="24"/>
          <w:szCs w:val="24"/>
          <w:highlight w:val="none"/>
          <w:shd w:val="clear" w:color="auto" w:fill="FFFFFF"/>
        </w:rPr>
        <w:t>的</w:t>
      </w:r>
      <w:r>
        <w:rPr>
          <w:rFonts w:hint="eastAsia" w:ascii="宋体" w:hAnsi="宋体" w:eastAsia="宋体" w:cs="宋体"/>
          <w:b w:val="0"/>
          <w:bCs w:val="0"/>
          <w:sz w:val="24"/>
          <w:szCs w:val="24"/>
          <w:highlight w:val="none"/>
          <w:shd w:val="clear" w:color="auto" w:fill="FFFFFF"/>
          <w:lang w:val="en-US" w:eastAsia="zh-CN"/>
        </w:rPr>
        <w:t>3</w:t>
      </w:r>
      <w:r>
        <w:rPr>
          <w:rFonts w:hint="eastAsia" w:ascii="宋体" w:hAnsi="宋体" w:eastAsia="宋体" w:cs="宋体"/>
          <w:b w:val="0"/>
          <w:bCs w:val="0"/>
          <w:sz w:val="24"/>
          <w:szCs w:val="24"/>
          <w:highlight w:val="none"/>
          <w:shd w:val="clear" w:color="auto" w:fill="FFFFFF"/>
        </w:rPr>
        <w:t>0%支付违约金</w:t>
      </w:r>
      <w:r>
        <w:rPr>
          <w:rFonts w:hint="eastAsia" w:ascii="宋体" w:hAnsi="宋体" w:eastAsia="宋体" w:cs="宋体"/>
          <w:b w:val="0"/>
          <w:bCs w:val="0"/>
          <w:sz w:val="24"/>
          <w:szCs w:val="24"/>
          <w:highlight w:val="none"/>
          <w:shd w:val="clear" w:color="auto" w:fill="FFFFFF"/>
          <w:lang w:eastAsia="zh-CN"/>
        </w:rPr>
        <w:t>，同时</w:t>
      </w:r>
      <w:r>
        <w:rPr>
          <w:rFonts w:hint="eastAsia" w:ascii="宋体" w:hAnsi="宋体" w:eastAsia="宋体" w:cs="宋体"/>
          <w:b w:val="0"/>
          <w:bCs w:val="0"/>
          <w:sz w:val="24"/>
          <w:szCs w:val="24"/>
          <w:highlight w:val="none"/>
          <w:shd w:val="clear" w:color="auto" w:fill="FFFFFF"/>
        </w:rPr>
        <w:t>采购人有权单方面解除采购合同。</w:t>
      </w:r>
    </w:p>
    <w:p w14:paraId="1CD22652">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②供应商逾期履约，按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w:t>
      </w:r>
      <w:r>
        <w:rPr>
          <w:rFonts w:hint="eastAsia" w:ascii="宋体" w:hAnsi="宋体" w:eastAsia="宋体" w:cs="宋体"/>
          <w:b w:val="0"/>
          <w:bCs w:val="0"/>
          <w:sz w:val="24"/>
          <w:szCs w:val="24"/>
          <w:highlight w:val="none"/>
          <w:shd w:val="clear" w:color="auto" w:fill="FFFFFF"/>
        </w:rPr>
        <w:t>的1‰/日支付违约金。逾期超过20日，采购人</w:t>
      </w:r>
      <w:r>
        <w:rPr>
          <w:rFonts w:hint="eastAsia" w:ascii="宋体" w:hAnsi="宋体" w:eastAsia="宋体" w:cs="宋体"/>
          <w:b w:val="0"/>
          <w:bCs w:val="0"/>
          <w:sz w:val="24"/>
          <w:szCs w:val="24"/>
          <w:highlight w:val="none"/>
          <w:shd w:val="clear" w:color="auto" w:fill="FFFFFF"/>
          <w:lang w:val="en-US" w:eastAsia="zh-CN"/>
        </w:rPr>
        <w:t>除可按本条标准收取违约金外，还</w:t>
      </w:r>
      <w:r>
        <w:rPr>
          <w:rFonts w:hint="eastAsia" w:ascii="宋体" w:hAnsi="宋体" w:eastAsia="宋体" w:cs="宋体"/>
          <w:b w:val="0"/>
          <w:bCs w:val="0"/>
          <w:sz w:val="24"/>
          <w:szCs w:val="24"/>
          <w:highlight w:val="none"/>
          <w:shd w:val="clear" w:color="auto" w:fill="FFFFFF"/>
        </w:rPr>
        <w:t>有权单方面解除采购合同。</w:t>
      </w:r>
    </w:p>
    <w:p w14:paraId="3621458A">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③供应商有</w:t>
      </w:r>
      <w:r>
        <w:rPr>
          <w:rFonts w:hint="eastAsia" w:ascii="宋体" w:hAnsi="宋体" w:eastAsia="宋体" w:cs="宋体"/>
          <w:b w:val="0"/>
          <w:bCs w:val="0"/>
          <w:sz w:val="24"/>
          <w:szCs w:val="24"/>
          <w:highlight w:val="none"/>
          <w:shd w:val="clear" w:color="auto" w:fill="FFFFFF"/>
          <w:lang w:eastAsia="zh-CN"/>
        </w:rPr>
        <w:t>其他</w:t>
      </w:r>
      <w:r>
        <w:rPr>
          <w:rFonts w:hint="eastAsia" w:ascii="宋体" w:hAnsi="宋体" w:eastAsia="宋体" w:cs="宋体"/>
          <w:b w:val="0"/>
          <w:bCs w:val="0"/>
          <w:sz w:val="24"/>
          <w:szCs w:val="24"/>
          <w:highlight w:val="none"/>
          <w:shd w:val="clear" w:color="auto" w:fill="FFFFFF"/>
        </w:rPr>
        <w:t>违约行为的，应按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highlight w:val="none"/>
          <w:shd w:val="clear" w:color="auto" w:fill="FFFFFF"/>
          <w:lang w:val="en-US" w:eastAsia="zh-CN"/>
        </w:rPr>
        <w:t>金额</w:t>
      </w:r>
      <w:r>
        <w:rPr>
          <w:rFonts w:hint="eastAsia" w:ascii="宋体" w:hAnsi="宋体" w:eastAsia="宋体" w:cs="宋体"/>
          <w:b w:val="0"/>
          <w:bCs w:val="0"/>
          <w:sz w:val="24"/>
          <w:szCs w:val="24"/>
          <w:highlight w:val="none"/>
          <w:shd w:val="clear" w:color="auto" w:fill="FFFFFF"/>
        </w:rPr>
        <w:t>的</w:t>
      </w:r>
      <w:r>
        <w:rPr>
          <w:rFonts w:hint="eastAsia" w:ascii="宋体" w:hAnsi="宋体" w:eastAsia="宋体" w:cs="宋体"/>
          <w:b w:val="0"/>
          <w:bCs w:val="0"/>
          <w:sz w:val="24"/>
          <w:szCs w:val="24"/>
          <w:highlight w:val="none"/>
          <w:shd w:val="clear" w:color="auto" w:fill="FFFFFF"/>
          <w:lang w:val="en-US" w:eastAsia="zh-CN"/>
        </w:rPr>
        <w:t>2</w:t>
      </w:r>
      <w:r>
        <w:rPr>
          <w:rFonts w:hint="eastAsia" w:ascii="宋体" w:hAnsi="宋体" w:eastAsia="宋体" w:cs="宋体"/>
          <w:b w:val="0"/>
          <w:bCs w:val="0"/>
          <w:sz w:val="24"/>
          <w:szCs w:val="24"/>
          <w:highlight w:val="none"/>
          <w:shd w:val="clear" w:color="auto" w:fill="FFFFFF"/>
        </w:rPr>
        <w:t>0%支付违约金。</w:t>
      </w:r>
    </w:p>
    <w:p w14:paraId="11C8D31E">
      <w:pPr>
        <w:spacing w:line="360" w:lineRule="auto"/>
        <w:ind w:firstLine="480" w:firstLineChars="200"/>
        <w:jc w:val="left"/>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④</w:t>
      </w:r>
      <w:r>
        <w:rPr>
          <w:rFonts w:hint="eastAsia" w:ascii="宋体" w:hAnsi="宋体" w:eastAsia="宋体" w:cs="宋体"/>
          <w:b w:val="0"/>
          <w:bCs w:val="0"/>
          <w:sz w:val="24"/>
          <w:szCs w:val="24"/>
          <w:highlight w:val="none"/>
          <w:shd w:val="clear" w:color="auto" w:fill="FFFFFF"/>
          <w:lang w:val="en-US" w:eastAsia="zh-CN"/>
        </w:rPr>
        <w:t>合同期限</w:t>
      </w:r>
      <w:r>
        <w:rPr>
          <w:rFonts w:hint="eastAsia" w:ascii="宋体" w:hAnsi="宋体" w:eastAsia="宋体" w:cs="宋体"/>
          <w:b w:val="0"/>
          <w:bCs w:val="0"/>
          <w:sz w:val="24"/>
          <w:szCs w:val="24"/>
          <w:highlight w:val="none"/>
          <w:shd w:val="clear" w:color="auto" w:fill="FFFFFF"/>
        </w:rPr>
        <w:t>内，因</w:t>
      </w:r>
      <w:r>
        <w:rPr>
          <w:rFonts w:hint="eastAsia" w:ascii="宋体" w:hAnsi="宋体" w:eastAsia="宋体" w:cs="宋体"/>
          <w:b w:val="0"/>
          <w:bCs w:val="0"/>
          <w:sz w:val="24"/>
          <w:szCs w:val="24"/>
          <w:highlight w:val="none"/>
          <w:shd w:val="clear" w:color="auto" w:fill="FFFFFF"/>
          <w:lang w:val="en-US" w:eastAsia="zh-CN"/>
        </w:rPr>
        <w:t>供应商</w:t>
      </w:r>
      <w:r>
        <w:rPr>
          <w:rFonts w:hint="eastAsia" w:ascii="宋体" w:hAnsi="宋体" w:eastAsia="宋体" w:cs="宋体"/>
          <w:b w:val="0"/>
          <w:bCs w:val="0"/>
          <w:sz w:val="24"/>
          <w:szCs w:val="24"/>
          <w:highlight w:val="none"/>
          <w:shd w:val="clear" w:color="auto" w:fill="FFFFFF"/>
        </w:rPr>
        <w:t>自身原因造成采购合同终止，因此产生的所有经济损失由成交供应商自行承担</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b w:val="0"/>
          <w:bCs w:val="0"/>
          <w:sz w:val="24"/>
          <w:szCs w:val="24"/>
          <w:highlight w:val="none"/>
          <w:shd w:val="clear" w:color="auto" w:fill="FFFFFF"/>
        </w:rPr>
        <w:t>如给采购人造成损失的，还应赔偿采购人全部损失。</w:t>
      </w:r>
    </w:p>
    <w:p w14:paraId="36501AEA">
      <w:pPr>
        <w:spacing w:line="360" w:lineRule="auto"/>
        <w:ind w:firstLine="480" w:firstLineChars="200"/>
        <w:jc w:val="left"/>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highlight w:val="none"/>
          <w:shd w:val="clear" w:color="auto" w:fill="FFFFFF"/>
        </w:rPr>
        <w:t>⑤如因产品质量</w:t>
      </w:r>
      <w:r>
        <w:rPr>
          <w:rFonts w:hint="eastAsia" w:ascii="宋体" w:hAnsi="宋体" w:eastAsia="宋体" w:cs="宋体"/>
          <w:b w:val="0"/>
          <w:bCs w:val="0"/>
          <w:sz w:val="24"/>
          <w:szCs w:val="24"/>
          <w:highlight w:val="none"/>
          <w:shd w:val="clear" w:color="auto" w:fill="FFFFFF"/>
          <w:lang w:val="en-US" w:eastAsia="zh-CN"/>
        </w:rPr>
        <w:t>出现问题</w:t>
      </w:r>
      <w:r>
        <w:rPr>
          <w:rFonts w:hint="eastAsia" w:ascii="宋体" w:hAnsi="宋体" w:eastAsia="宋体" w:cs="宋体"/>
          <w:b w:val="0"/>
          <w:bCs w:val="0"/>
          <w:sz w:val="24"/>
          <w:szCs w:val="24"/>
          <w:highlight w:val="none"/>
          <w:shd w:val="clear" w:color="auto" w:fill="FFFFFF"/>
        </w:rPr>
        <w:t>或标示不明确而对使用者造成</w:t>
      </w:r>
      <w:r>
        <w:rPr>
          <w:rFonts w:hint="eastAsia" w:ascii="宋体" w:hAnsi="宋体" w:eastAsia="宋体" w:cs="宋体"/>
          <w:b w:val="0"/>
          <w:bCs w:val="0"/>
          <w:sz w:val="24"/>
          <w:szCs w:val="24"/>
          <w:highlight w:val="none"/>
          <w:shd w:val="clear" w:color="auto" w:fill="FFFFFF"/>
          <w:lang w:val="en-US" w:eastAsia="zh-CN"/>
        </w:rPr>
        <w:t>损害</w:t>
      </w:r>
      <w:r>
        <w:rPr>
          <w:rFonts w:hint="eastAsia" w:ascii="宋体" w:hAnsi="宋体" w:eastAsia="宋体" w:cs="宋体"/>
          <w:b w:val="0"/>
          <w:bCs w:val="0"/>
          <w:sz w:val="24"/>
          <w:szCs w:val="24"/>
          <w:highlight w:val="none"/>
          <w:shd w:val="clear" w:color="auto" w:fill="FFFFFF"/>
        </w:rPr>
        <w:t>的，由供应商承担相应</w:t>
      </w:r>
      <w:r>
        <w:rPr>
          <w:rFonts w:hint="eastAsia" w:ascii="宋体" w:hAnsi="宋体" w:eastAsia="宋体" w:cs="宋体"/>
          <w:b w:val="0"/>
          <w:bCs w:val="0"/>
          <w:sz w:val="24"/>
          <w:szCs w:val="24"/>
          <w:highlight w:val="none"/>
          <w:shd w:val="clear" w:color="auto" w:fill="FFFFFF"/>
          <w:lang w:val="en-US" w:eastAsia="zh-CN"/>
        </w:rPr>
        <w:t>赔偿</w:t>
      </w:r>
      <w:r>
        <w:rPr>
          <w:rFonts w:hint="eastAsia" w:ascii="宋体" w:hAnsi="宋体" w:eastAsia="宋体" w:cs="宋体"/>
          <w:b w:val="0"/>
          <w:bCs w:val="0"/>
          <w:sz w:val="24"/>
          <w:szCs w:val="24"/>
          <w:highlight w:val="none"/>
          <w:shd w:val="clear" w:color="auto" w:fill="FFFFFF"/>
        </w:rPr>
        <w:t>责任。</w:t>
      </w:r>
      <w:r>
        <w:rPr>
          <w:rFonts w:hint="eastAsia" w:ascii="宋体" w:hAnsi="宋体" w:eastAsia="宋体" w:cs="宋体"/>
          <w:b w:val="0"/>
          <w:bCs w:val="0"/>
          <w:sz w:val="24"/>
          <w:szCs w:val="24"/>
          <w:highlight w:val="none"/>
          <w:shd w:val="clear" w:color="auto" w:fill="FFFFFF"/>
          <w:lang w:val="en-US" w:eastAsia="zh-CN"/>
        </w:rPr>
        <w:t>采购人若先行垫付赔偿款的，有权向供应商追偿</w:t>
      </w:r>
      <w:r>
        <w:rPr>
          <w:rFonts w:hint="eastAsia" w:ascii="宋体" w:hAnsi="宋体" w:eastAsia="宋体" w:cs="宋体"/>
          <w:b w:val="0"/>
          <w:bCs w:val="0"/>
          <w:sz w:val="24"/>
          <w:szCs w:val="24"/>
          <w:shd w:val="clear" w:color="auto" w:fill="FFFFFF"/>
          <w:lang w:val="en-US" w:eastAsia="zh-CN"/>
        </w:rPr>
        <w:t>。</w:t>
      </w:r>
      <w:r>
        <w:rPr>
          <w:rFonts w:hint="eastAsia" w:ascii="宋体" w:hAnsi="宋体" w:eastAsia="宋体" w:cs="宋体"/>
          <w:b w:val="0"/>
          <w:bCs w:val="0"/>
          <w:sz w:val="24"/>
          <w:szCs w:val="24"/>
          <w:shd w:val="clear" w:color="auto" w:fill="auto"/>
          <w:lang w:val="en-US" w:eastAsia="zh-CN"/>
        </w:rPr>
        <w:t>并</w:t>
      </w:r>
      <w:r>
        <w:rPr>
          <w:rFonts w:hint="eastAsia" w:ascii="宋体" w:hAnsi="宋体" w:eastAsia="宋体" w:cs="宋体"/>
          <w:b w:val="0"/>
          <w:bCs w:val="0"/>
          <w:sz w:val="24"/>
          <w:szCs w:val="24"/>
          <w:shd w:val="clear" w:color="auto" w:fill="auto"/>
        </w:rPr>
        <w:t>应按</w:t>
      </w:r>
      <w:r>
        <w:rPr>
          <w:rFonts w:hint="eastAsia" w:hAnsi="宋体" w:cs="宋体"/>
          <w:b w:val="0"/>
          <w:bCs w:val="0"/>
          <w:sz w:val="24"/>
          <w:szCs w:val="24"/>
          <w:highlight w:val="none"/>
          <w:shd w:val="clear" w:color="auto" w:fill="FFFFFF"/>
          <w:lang w:val="en-US" w:eastAsia="zh-CN"/>
        </w:rPr>
        <w:t>合同</w:t>
      </w:r>
      <w:r>
        <w:rPr>
          <w:rFonts w:hint="eastAsia" w:ascii="宋体" w:hAnsi="宋体" w:eastAsia="宋体" w:cs="宋体"/>
          <w:b w:val="0"/>
          <w:bCs w:val="0"/>
          <w:sz w:val="24"/>
          <w:szCs w:val="24"/>
          <w:shd w:val="clear" w:color="auto" w:fill="auto"/>
          <w:lang w:val="en-US" w:eastAsia="zh-CN"/>
        </w:rPr>
        <w:t>金额</w:t>
      </w:r>
      <w:r>
        <w:rPr>
          <w:rFonts w:hint="eastAsia" w:ascii="宋体" w:hAnsi="宋体" w:eastAsia="宋体" w:cs="宋体"/>
          <w:b w:val="0"/>
          <w:bCs w:val="0"/>
          <w:sz w:val="24"/>
          <w:szCs w:val="24"/>
          <w:shd w:val="clear" w:color="auto" w:fill="auto"/>
        </w:rPr>
        <w:t>的</w:t>
      </w:r>
      <w:r>
        <w:rPr>
          <w:rFonts w:hint="eastAsia" w:ascii="宋体" w:hAnsi="宋体" w:eastAsia="宋体" w:cs="宋体"/>
          <w:b w:val="0"/>
          <w:bCs w:val="0"/>
          <w:sz w:val="24"/>
          <w:szCs w:val="24"/>
          <w:shd w:val="clear" w:color="auto" w:fill="auto"/>
          <w:lang w:val="en-US" w:eastAsia="zh-CN"/>
        </w:rPr>
        <w:t>2</w:t>
      </w:r>
      <w:r>
        <w:rPr>
          <w:rFonts w:hint="eastAsia" w:ascii="宋体" w:hAnsi="宋体" w:eastAsia="宋体" w:cs="宋体"/>
          <w:b w:val="0"/>
          <w:bCs w:val="0"/>
          <w:sz w:val="24"/>
          <w:szCs w:val="24"/>
          <w:shd w:val="clear" w:color="auto" w:fill="auto"/>
        </w:rPr>
        <w:t>0%支付违约金。</w:t>
      </w:r>
    </w:p>
    <w:p w14:paraId="02C2CF35">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highlight w:val="none"/>
          <w:shd w:val="clear" w:color="auto" w:fill="FFFFFF"/>
        </w:rPr>
        <w:t>⑥</w:t>
      </w:r>
      <w:r>
        <w:rPr>
          <w:rFonts w:hint="eastAsia" w:ascii="宋体" w:hAnsi="宋体" w:eastAsia="宋体" w:cs="宋体"/>
          <w:b w:val="0"/>
          <w:bCs w:val="0"/>
          <w:sz w:val="24"/>
          <w:szCs w:val="24"/>
          <w:shd w:val="clear" w:color="auto" w:fill="FFFFFF"/>
        </w:rPr>
        <w:t>供应商支付的违约金不足以弥补采购人全部损失的，还应赔偿采购人全部损失。</w:t>
      </w:r>
    </w:p>
    <w:p w14:paraId="263591E7">
      <w:pPr>
        <w:pStyle w:val="13"/>
        <w:numPr>
          <w:ilvl w:val="0"/>
          <w:numId w:val="0"/>
        </w:numPr>
        <w:tabs>
          <w:tab w:val="left" w:pos="780"/>
        </w:tabs>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shd w:val="clear" w:color="auto" w:fill="FFFFFF"/>
          <w:lang w:val="en-US" w:eastAsia="zh-CN"/>
        </w:rPr>
        <w:t>⑦因医疗技术原因，甲方要求不使用该产品或需调换规格型号以及产品有效期即将过期，需要退货、换货，乙方未按要求办理达3次的或甲方通知乙方进行整改，未能及时整改或整改后仍然未能达标的，甲方有权解除单方面解除合同。</w:t>
      </w:r>
    </w:p>
    <w:p w14:paraId="5AC845BB">
      <w:pPr>
        <w:spacing w:line="360" w:lineRule="auto"/>
        <w:ind w:firstLine="480" w:firstLineChars="200"/>
        <w:jc w:val="left"/>
        <w:rPr>
          <w:rFonts w:hint="eastAsia" w:hAnsi="宋体" w:eastAsia="宋体" w:cs="宋体"/>
          <w:sz w:val="24"/>
          <w:szCs w:val="24"/>
          <w:lang w:val="en-US" w:eastAsia="zh-CN"/>
        </w:rPr>
      </w:pPr>
      <w:r>
        <w:rPr>
          <w:rFonts w:hint="eastAsia" w:ascii="宋体" w:hAnsi="宋体" w:eastAsia="宋体" w:cs="宋体"/>
          <w:b w:val="0"/>
          <w:bCs w:val="0"/>
          <w:sz w:val="24"/>
          <w:szCs w:val="24"/>
          <w:shd w:val="clear" w:color="auto" w:fill="FFFFFF"/>
          <w:lang w:eastAsia="zh-CN"/>
        </w:rPr>
        <w:t>（</w:t>
      </w:r>
      <w:r>
        <w:rPr>
          <w:rFonts w:hint="eastAsia" w:ascii="宋体" w:hAnsi="宋体" w:eastAsia="宋体" w:cs="宋体"/>
          <w:b w:val="0"/>
          <w:bCs w:val="0"/>
          <w:sz w:val="24"/>
          <w:szCs w:val="24"/>
          <w:shd w:val="clear" w:color="auto" w:fill="FFFFFF"/>
          <w:lang w:val="en-US" w:eastAsia="zh-CN"/>
        </w:rPr>
        <w:t>3）其他违约责任见合同约定。</w:t>
      </w:r>
    </w:p>
    <w:p w14:paraId="4D4A5E71">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7</w:t>
      </w:r>
      <w:r>
        <w:rPr>
          <w:rFonts w:hint="eastAsia" w:ascii="宋体" w:hAnsi="宋体" w:eastAsia="宋体" w:cs="宋体"/>
          <w:b w:val="0"/>
          <w:bCs w:val="0"/>
          <w:sz w:val="24"/>
          <w:szCs w:val="24"/>
          <w:shd w:val="clear" w:color="auto" w:fill="FFFFFF"/>
        </w:rPr>
        <w:t>、如遇集中采购、政府带量采购等国家相关政策变化或采购人制度管理变更需要发生调整，采购人有权终止合同，执行最新的政策和要求，且不承担任何违约责任。</w:t>
      </w:r>
    </w:p>
    <w:p w14:paraId="065D64B3">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8</w:t>
      </w:r>
      <w:r>
        <w:rPr>
          <w:rFonts w:hint="eastAsia" w:ascii="宋体" w:hAnsi="宋体" w:eastAsia="宋体" w:cs="宋体"/>
          <w:b w:val="0"/>
          <w:bCs w:val="0"/>
          <w:sz w:val="24"/>
          <w:szCs w:val="24"/>
          <w:shd w:val="clear" w:color="auto" w:fill="FFFFFF"/>
        </w:rPr>
        <w:t>、合同有效期内，项目清单中产品凡是纳入网上集中采购的医用耗材，应在公</w:t>
      </w:r>
      <w:r>
        <w:rPr>
          <w:rFonts w:hint="eastAsia" w:ascii="宋体" w:hAnsi="宋体" w:eastAsia="宋体" w:cs="宋体"/>
          <w:b w:val="0"/>
          <w:bCs w:val="0"/>
          <w:color w:val="auto"/>
          <w:sz w:val="24"/>
          <w:szCs w:val="24"/>
          <w:shd w:val="clear" w:color="auto" w:fill="FFFFFF"/>
        </w:rPr>
        <w:t>示</w:t>
      </w:r>
      <w:r>
        <w:rPr>
          <w:rFonts w:hint="eastAsia" w:ascii="宋体" w:hAnsi="宋体" w:eastAsia="宋体" w:cs="宋体"/>
          <w:b w:val="0"/>
          <w:bCs w:val="0"/>
          <w:color w:val="auto"/>
          <w:sz w:val="24"/>
          <w:szCs w:val="24"/>
          <w:highlight w:val="none"/>
          <w:shd w:val="clear" w:color="auto" w:fill="FFFFFF"/>
        </w:rPr>
        <w:t>后10个工作</w:t>
      </w:r>
      <w:r>
        <w:rPr>
          <w:rFonts w:hint="eastAsia" w:ascii="宋体" w:hAnsi="宋体" w:eastAsia="宋体" w:cs="宋体"/>
          <w:b w:val="0"/>
          <w:bCs w:val="0"/>
          <w:color w:val="auto"/>
          <w:sz w:val="24"/>
          <w:szCs w:val="24"/>
          <w:shd w:val="clear" w:color="auto" w:fill="FFFFFF"/>
        </w:rPr>
        <w:t>日内以书面形式告知采购人，应按照四川省医疗保障局下发的《四川省医药机构医用</w:t>
      </w:r>
      <w:r>
        <w:rPr>
          <w:rFonts w:hint="eastAsia" w:ascii="宋体" w:hAnsi="宋体" w:eastAsia="宋体" w:cs="宋体"/>
          <w:b w:val="0"/>
          <w:bCs w:val="0"/>
          <w:sz w:val="24"/>
          <w:szCs w:val="24"/>
          <w:shd w:val="clear" w:color="auto" w:fill="FFFFFF"/>
        </w:rPr>
        <w:t>耗材集中采购实施方案》要求进行挂网采购，且挂网采购价格不应高于“四川省医疗保障信息大数据一体化平台药品和医用耗材招采管理子系统（招采子系统）”的挂网最低价格和采购成交价中的任一价格。若因供应商或厂家原因无法按上述要求执行的，则采购人可以不再采购无法按照前述要求执行的相应产品，且不承担任何违约责任。</w:t>
      </w:r>
    </w:p>
    <w:p w14:paraId="16DB69CD">
      <w:pPr>
        <w:spacing w:line="360" w:lineRule="auto"/>
        <w:ind w:firstLine="480" w:firstLineChars="200"/>
        <w:jc w:val="left"/>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lang w:val="en-US" w:eastAsia="zh-CN"/>
        </w:rPr>
        <w:t>9</w:t>
      </w:r>
      <w:r>
        <w:rPr>
          <w:rFonts w:hint="eastAsia" w:ascii="宋体" w:hAnsi="宋体" w:eastAsia="宋体" w:cs="宋体"/>
          <w:b w:val="0"/>
          <w:bCs w:val="0"/>
          <w:sz w:val="24"/>
          <w:szCs w:val="24"/>
          <w:shd w:val="clear" w:color="auto" w:fill="FFFFFF"/>
        </w:rPr>
        <w:t>、解决争议的方法：在执行合同中发生的与本合同有关的争端，双方应通过友好协商解决，经协商不能达成协议时，任意一方均可向采购人所在地人民法院提起诉讼。</w:t>
      </w:r>
    </w:p>
    <w:p w14:paraId="728807A9">
      <w:pPr>
        <w:pStyle w:val="24"/>
        <w:rPr>
          <w:rFonts w:hint="eastAsia"/>
        </w:rPr>
      </w:pPr>
      <w:r>
        <w:rPr>
          <w:rFonts w:hint="eastAsia" w:ascii="宋体" w:hAnsi="宋体" w:eastAsia="宋体" w:cs="宋体"/>
          <w:b w:val="0"/>
          <w:bCs w:val="0"/>
          <w:sz w:val="24"/>
          <w:szCs w:val="24"/>
          <w:shd w:val="clear" w:color="auto" w:fill="FFFFFF"/>
          <w:lang w:val="en-US" w:eastAsia="zh-CN"/>
        </w:rPr>
        <w:t>10</w:t>
      </w:r>
      <w:r>
        <w:rPr>
          <w:rFonts w:hint="eastAsia" w:ascii="宋体" w:hAnsi="宋体" w:eastAsia="宋体" w:cs="宋体"/>
          <w:b w:val="0"/>
          <w:bCs w:val="0"/>
          <w:sz w:val="24"/>
          <w:szCs w:val="24"/>
          <w:shd w:val="clear" w:color="auto" w:fill="FFFFFF"/>
        </w:rPr>
        <w:t>、其他未尽事宜以合同约定为准。</w:t>
      </w:r>
    </w:p>
    <w:bookmarkEnd w:id="294"/>
    <w:p w14:paraId="6B7175C4">
      <w:pPr>
        <w:rPr>
          <w:rFonts w:hint="eastAsia"/>
          <w:sz w:val="24"/>
          <w:szCs w:val="24"/>
        </w:rPr>
      </w:pPr>
      <w:bookmarkStart w:id="295" w:name="_Toc6642"/>
      <w:bookmarkStart w:id="296" w:name="_Toc30397"/>
      <w:bookmarkStart w:id="297" w:name="_Toc28320"/>
      <w:bookmarkStart w:id="298" w:name="_Toc3926"/>
      <w:bookmarkStart w:id="299" w:name="_Toc7821"/>
      <w:bookmarkStart w:id="300" w:name="_Toc3538"/>
      <w:bookmarkStart w:id="301" w:name="_Toc3130"/>
      <w:bookmarkStart w:id="302" w:name="_Toc26592"/>
      <w:bookmarkStart w:id="303" w:name="_Toc10266"/>
      <w:bookmarkStart w:id="304" w:name="_Toc27475"/>
      <w:bookmarkStart w:id="305" w:name="_Toc31"/>
      <w:bookmarkStart w:id="306" w:name="_Toc12919"/>
      <w:r>
        <w:rPr>
          <w:rFonts w:hint="eastAsia" w:ascii="宋体" w:hAnsi="宋体" w:eastAsia="宋体" w:cs="宋体"/>
          <w:sz w:val="24"/>
          <w:szCs w:val="24"/>
          <w:shd w:val="clear" w:color="auto" w:fill="FFFFFF"/>
          <w:lang w:val="en-US" w:eastAsia="zh-CN"/>
        </w:rPr>
        <w:t>★</w:t>
      </w:r>
      <w:r>
        <w:rPr>
          <w:rFonts w:hint="eastAsia" w:ascii="宋体" w:hAnsi="宋体" w:eastAsia="宋体" w:cs="宋体"/>
          <w:color w:val="auto"/>
          <w:sz w:val="24"/>
          <w:szCs w:val="24"/>
          <w:highlight w:val="none"/>
          <w:lang w:val="en-US" w:eastAsia="zh-CN"/>
        </w:rPr>
        <w:t>附件：</w:t>
      </w:r>
      <w:r>
        <w:rPr>
          <w:rFonts w:hint="eastAsia" w:ascii="宋体" w:hAnsi="宋体" w:eastAsia="宋体" w:cs="宋体"/>
          <w:b/>
          <w:sz w:val="28"/>
          <w:szCs w:val="28"/>
        </w:rPr>
        <w:t>考核表</w:t>
      </w:r>
      <w:bookmarkEnd w:id="295"/>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1"/>
        <w:gridCol w:w="1618"/>
        <w:gridCol w:w="5822"/>
        <w:gridCol w:w="1433"/>
      </w:tblGrid>
      <w:tr w14:paraId="7393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98C9F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序号</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2A21B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考核要求</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8A1B18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评价标准</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75F24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分值</w:t>
            </w:r>
          </w:p>
        </w:tc>
      </w:tr>
      <w:tr w14:paraId="040F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0"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37E85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E18014">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配送率</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571818">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规定时间全部配送到位不扣分（采购方发出采购计划时间为起点计算，急需使用产品6小时内送达，日常产品3日内送达）；95%≤配送率＜100%，扣1分；90%≤配送率＜95%，扣2分；配送率＜90%，每降低1%扣1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C7BFB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p>
        </w:tc>
      </w:tr>
      <w:tr w14:paraId="3F3B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86E036">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7C6207">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配送准确度</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908AB2">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配送完全准确，不扣分；每错误1种（多送、少送或厂家规格不一致）扣1分，扣完即止。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D2C6692">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0F7F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244288">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B4EA07">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耗材和试剂有效期</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EF6886">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有效期在6个月以内的，出现一个扣5分，扣完为止。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F0A36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58FD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9CB664">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486C813">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耗材和试剂零散率及</w:t>
            </w:r>
          </w:p>
          <w:p w14:paraId="26D75C52">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外包装</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70E56E">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可整件送的均整件配送且外包装干净/完整/关键信息无覆盖不扣分；可整件送而零散送的每出现1次扣1分，外包装每有1种存在问题扣1分，扣完为止。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AAC58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12F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2C1FC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642FF6C">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送货员业务能力</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A7996A">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送货员诚信有礼貌、具有良好的沟通能力，每出现一次客户投诉扣2.5分，直至扣完为止。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129249">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71B9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A64E9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33B356E">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随货同行单规范</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524D10">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随货同行单无任何问题，不扣分；每出现1个问题扣2.5分；随货同行单据当日送达，不扣分，每推迟一天扣2.5分，扣完为止。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F08181">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p>
        </w:tc>
      </w:tr>
      <w:tr w14:paraId="0A7C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1F0EB6">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7</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3A9830">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运输协调能力</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4CE3BC">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配送问题，业务员能在1日内解决，得10分；超过1日未解决问题，扣5分，直至扣完为止。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ACF8C6">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4331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9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9F5F97">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16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27694B">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退换货速度</w:t>
            </w:r>
          </w:p>
        </w:tc>
        <w:tc>
          <w:tcPr>
            <w:tcW w:w="58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8EBC95">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有专门的退货员积极处理，收到退换货要求后立即核实处理，超过1日未联系解决，扣5分，直至扣完为止。</w:t>
            </w:r>
          </w:p>
        </w:tc>
        <w:tc>
          <w:tcPr>
            <w:tcW w:w="143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246114A">
            <w:pPr>
              <w:keepNext w:val="0"/>
              <w:keepLines w:val="0"/>
              <w:suppressLineNumbers w:val="0"/>
              <w:spacing w:before="0" w:beforeAutospacing="0" w:after="0" w:afterAutospacing="0"/>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10</w:t>
            </w:r>
          </w:p>
        </w:tc>
      </w:tr>
      <w:tr w14:paraId="75AD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9854"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5B6097">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备注： </w:t>
            </w:r>
          </w:p>
          <w:p w14:paraId="49C5D606">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1.本考核表由采购人每季度进行考核。</w:t>
            </w:r>
          </w:p>
          <w:p w14:paraId="6A764D54">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2.本考核表评分采取扣分制，并将扣分依据附在评分表后面备查。</w:t>
            </w:r>
          </w:p>
          <w:p w14:paraId="3DA82A89">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3.配送率=按要求送达的产品数/采购订单的总产品数*100%。</w:t>
            </w:r>
          </w:p>
          <w:p w14:paraId="4A0966C5">
            <w:pPr>
              <w:keepNext w:val="0"/>
              <w:keepLines w:val="0"/>
              <w:suppressLineNumbers w:val="0"/>
              <w:spacing w:before="0" w:beforeAutospacing="0" w:after="0" w:afterAutospacing="0"/>
              <w:ind w:left="0" w:right="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4.本考核表满分100分，95分及以上为优秀，90-94分为良好，85-89分为合格, 80-84分为差，80分以下为不合格。如供应商连续两次考核分值低于80分的，采购人有权解除配送服务合同。</w:t>
            </w:r>
          </w:p>
        </w:tc>
      </w:tr>
    </w:tbl>
    <w:p w14:paraId="0A046852">
      <w:pPr>
        <w:widowControl/>
        <w:adjustRightInd w:val="0"/>
        <w:snapToGrid w:val="0"/>
        <w:spacing w:after="200"/>
        <w:ind w:firstLine="0"/>
        <w:jc w:val="left"/>
        <w:rPr>
          <w:rFonts w:hint="eastAsia" w:ascii="宋体" w:hAnsi="宋体" w:eastAsia="宋体" w:cs="宋体"/>
          <w:sz w:val="24"/>
          <w:szCs w:val="24"/>
          <w:highlight w:val="none"/>
        </w:rPr>
      </w:pPr>
    </w:p>
    <w:p w14:paraId="2D576425">
      <w:pPr>
        <w:shd w:val="clear" w:color="auto" w:fill="auto"/>
        <w:tabs>
          <w:tab w:val="left" w:pos="7665"/>
        </w:tabs>
        <w:spacing w:line="400" w:lineRule="exact"/>
        <w:ind w:firstLine="480"/>
        <w:jc w:val="left"/>
        <w:outlineLvl w:val="9"/>
        <w:rPr>
          <w:rFonts w:hint="eastAsia" w:hAnsi="宋体" w:eastAsia="宋体" w:cs="宋体"/>
          <w:b/>
          <w:bCs/>
          <w:color w:val="auto"/>
          <w:sz w:val="32"/>
          <w:szCs w:val="32"/>
          <w:highlight w:val="none"/>
          <w:lang w:eastAsia="zh-CN"/>
        </w:rPr>
      </w:pPr>
      <w:r>
        <w:rPr>
          <w:rFonts w:hint="eastAsia" w:ascii="宋体" w:hAnsi="宋体" w:cs="宋体"/>
          <w:sz w:val="24"/>
        </w:rPr>
        <w:t>注：</w:t>
      </w:r>
      <w:r>
        <w:rPr>
          <w:rFonts w:hint="eastAsia" w:ascii="宋体" w:hAnsi="宋体" w:cs="宋体"/>
          <w:color w:val="000000"/>
          <w:sz w:val="24"/>
        </w:rPr>
        <w:t>★条款为本项实质性要求，不满足视为无效响应</w:t>
      </w:r>
      <w:r>
        <w:rPr>
          <w:rFonts w:hint="eastAsia" w:ascii="宋体" w:hAnsi="宋体" w:cs="宋体"/>
          <w:color w:val="000000"/>
          <w:sz w:val="24"/>
          <w:lang w:eastAsia="zh-CN"/>
        </w:rPr>
        <w:t>。</w:t>
      </w:r>
    </w:p>
    <w:p w14:paraId="784DED2D">
      <w:pPr>
        <w:rPr>
          <w:rFonts w:hint="eastAsia" w:hAnsi="宋体" w:cs="宋体"/>
          <w:b/>
          <w:bCs/>
          <w:color w:val="auto"/>
          <w:sz w:val="32"/>
          <w:szCs w:val="32"/>
          <w:highlight w:val="none"/>
        </w:rPr>
      </w:pPr>
      <w:bookmarkStart w:id="307" w:name="_Toc20186"/>
      <w:bookmarkStart w:id="308" w:name="_Toc2400"/>
      <w:r>
        <w:rPr>
          <w:rFonts w:hint="eastAsia" w:hAnsi="宋体" w:cs="宋体"/>
          <w:b/>
          <w:bCs/>
          <w:color w:val="auto"/>
          <w:sz w:val="32"/>
          <w:szCs w:val="32"/>
          <w:highlight w:val="none"/>
        </w:rPr>
        <w:br w:type="page"/>
      </w:r>
    </w:p>
    <w:p w14:paraId="0D4BAA8A">
      <w:pPr>
        <w:shd w:val="clear" w:color="auto" w:fill="auto"/>
        <w:tabs>
          <w:tab w:val="left" w:pos="7665"/>
        </w:tabs>
        <w:spacing w:line="400" w:lineRule="exact"/>
        <w:ind w:firstLine="480"/>
        <w:jc w:val="center"/>
        <w:outlineLvl w:val="0"/>
        <w:rPr>
          <w:rFonts w:hint="eastAsia" w:hAnsi="宋体" w:cs="宋体"/>
          <w:b/>
          <w:bCs/>
          <w:color w:val="auto"/>
          <w:sz w:val="32"/>
          <w:szCs w:val="32"/>
          <w:highlight w:val="none"/>
        </w:rPr>
      </w:pPr>
      <w:r>
        <w:rPr>
          <w:rFonts w:hint="eastAsia" w:hAnsi="宋体" w:cs="宋体"/>
          <w:b/>
          <w:bCs/>
          <w:color w:val="auto"/>
          <w:sz w:val="32"/>
          <w:szCs w:val="32"/>
          <w:highlight w:val="none"/>
        </w:rPr>
        <w:t>第六章  响应文件格式</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1C4320AF">
      <w:pPr>
        <w:shd w:val="clear" w:color="auto" w:fill="auto"/>
        <w:jc w:val="left"/>
        <w:rPr>
          <w:rFonts w:hint="eastAsia" w:hAnsi="宋体" w:cs="宋体"/>
          <w:b/>
          <w:color w:val="auto"/>
          <w:sz w:val="32"/>
          <w:szCs w:val="32"/>
          <w:highlight w:val="none"/>
        </w:rPr>
      </w:pPr>
    </w:p>
    <w:p w14:paraId="0D0720B7">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一、本章所制磋商文件格式，除格式中明确将该格式作为实质性要求的，一律不具有强制性，但是，供应商响应文件相关资料和本章所制格式不一致导致响应文件无效的由供应商自行承担责任。</w:t>
      </w:r>
    </w:p>
    <w:p w14:paraId="3201D282">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二、本章所制磋商文件格式有关表格中的备注栏，由供应商根据自身响应情况作解释</w:t>
      </w:r>
    </w:p>
    <w:p w14:paraId="0D9AD698">
      <w:pPr>
        <w:shd w:val="clear" w:color="auto" w:fill="auto"/>
        <w:spacing w:line="360" w:lineRule="auto"/>
        <w:ind w:firstLine="480" w:firstLineChars="200"/>
        <w:jc w:val="left"/>
        <w:rPr>
          <w:rFonts w:hint="eastAsia" w:hAnsi="宋体" w:cs="宋体"/>
          <w:color w:val="auto"/>
          <w:highlight w:val="none"/>
        </w:rPr>
      </w:pPr>
      <w:r>
        <w:rPr>
          <w:rFonts w:hint="eastAsia" w:hAnsi="宋体" w:cs="宋体"/>
          <w:color w:val="auto"/>
          <w:sz w:val="24"/>
          <w:highlight w:val="none"/>
        </w:rPr>
        <w:t>三、本章所制磋商文件格式有关表格下的备注内容，仅作为响应文件的编制说明，在编制响应文件时可不予保留。</w:t>
      </w:r>
    </w:p>
    <w:p w14:paraId="1E854DC0">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四、本章所制磋商文件格式中需要填写的相关内容事项，可能会与本采购项目无关，在不改变响应文件原义、不影响本项目采购需求的情况下，供应商可以不予填写，但应当注明。</w:t>
      </w:r>
    </w:p>
    <w:p w14:paraId="1EDF7AE9">
      <w:pPr>
        <w:shd w:val="clear" w:color="auto" w:fill="auto"/>
        <w:jc w:val="left"/>
        <w:rPr>
          <w:rFonts w:hint="eastAsia" w:hAnsi="宋体" w:cs="宋体"/>
          <w:b/>
          <w:color w:val="auto"/>
          <w:sz w:val="32"/>
          <w:szCs w:val="32"/>
          <w:highlight w:val="none"/>
        </w:rPr>
      </w:pPr>
    </w:p>
    <w:p w14:paraId="75E347A0">
      <w:pPr>
        <w:shd w:val="clear" w:color="auto" w:fill="auto"/>
        <w:spacing w:line="480" w:lineRule="auto"/>
        <w:ind w:firstLine="562" w:firstLineChars="200"/>
        <w:jc w:val="center"/>
        <w:outlineLvl w:val="1"/>
        <w:rPr>
          <w:rFonts w:hint="eastAsia" w:hAnsi="宋体" w:cs="宋体"/>
          <w:color w:val="auto"/>
          <w:sz w:val="24"/>
          <w:highlight w:val="none"/>
        </w:rPr>
      </w:pPr>
      <w:bookmarkStart w:id="309" w:name="_Toc17240"/>
      <w:bookmarkStart w:id="310" w:name="_Toc3583"/>
      <w:bookmarkStart w:id="311" w:name="_Toc1063"/>
      <w:bookmarkStart w:id="312" w:name="_Toc9297"/>
      <w:bookmarkStart w:id="313" w:name="_Toc28947"/>
      <w:bookmarkStart w:id="314" w:name="_Toc7085"/>
      <w:bookmarkStart w:id="315" w:name="_Toc30428"/>
      <w:bookmarkStart w:id="316" w:name="_Toc25437"/>
      <w:bookmarkStart w:id="317" w:name="_Toc24833"/>
      <w:bookmarkStart w:id="318" w:name="_Toc8066"/>
      <w:bookmarkStart w:id="319" w:name="_Toc27007"/>
      <w:bookmarkStart w:id="320" w:name="_Toc9901"/>
      <w:r>
        <w:rPr>
          <w:rFonts w:hint="eastAsia" w:hAnsi="宋体" w:cs="宋体"/>
          <w:b/>
          <w:bCs/>
          <w:color w:val="auto"/>
          <w:sz w:val="28"/>
          <w:szCs w:val="28"/>
          <w:highlight w:val="none"/>
        </w:rPr>
        <w:br w:type="page"/>
      </w:r>
      <w:bookmarkStart w:id="321" w:name="_Toc7384"/>
      <w:bookmarkStart w:id="322" w:name="_Toc12347"/>
      <w:r>
        <w:rPr>
          <w:rFonts w:hint="eastAsia" w:hAnsi="宋体" w:cs="宋体"/>
          <w:b/>
          <w:bCs/>
          <w:color w:val="auto"/>
          <w:sz w:val="28"/>
          <w:szCs w:val="28"/>
          <w:highlight w:val="none"/>
        </w:rPr>
        <w:t>第一部分   《资格性响应文件》格式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EA2A5E1">
      <w:pPr>
        <w:shd w:val="clear" w:color="auto" w:fill="auto"/>
        <w:spacing w:line="480" w:lineRule="auto"/>
        <w:ind w:firstLine="562" w:firstLineChars="200"/>
        <w:outlineLvl w:val="1"/>
        <w:rPr>
          <w:rFonts w:hint="eastAsia" w:hAnsi="宋体" w:cs="宋体"/>
          <w:b/>
          <w:bCs/>
          <w:color w:val="auto"/>
          <w:sz w:val="24"/>
          <w:highlight w:val="none"/>
        </w:rPr>
      </w:pPr>
      <w:bookmarkStart w:id="323" w:name="_Toc24623"/>
      <w:bookmarkStart w:id="324" w:name="_Toc19591"/>
      <w:bookmarkStart w:id="325" w:name="_Toc19463"/>
      <w:bookmarkStart w:id="326" w:name="_Toc7097"/>
      <w:bookmarkStart w:id="327" w:name="_Toc15019"/>
      <w:bookmarkStart w:id="328" w:name="_Toc20518"/>
      <w:bookmarkStart w:id="329" w:name="_Toc22669"/>
      <w:bookmarkStart w:id="330" w:name="_Toc14308"/>
      <w:bookmarkStart w:id="331" w:name="_Toc3146"/>
      <w:bookmarkStart w:id="332" w:name="_Toc18604"/>
      <w:bookmarkStart w:id="333" w:name="_Toc11358"/>
      <w:bookmarkStart w:id="334" w:name="_Toc25067"/>
      <w:bookmarkStart w:id="335" w:name="_Toc15170"/>
      <w:bookmarkStart w:id="336" w:name="_Toc26633"/>
      <w:r>
        <w:rPr>
          <w:rFonts w:hint="eastAsia" w:hAnsi="宋体" w:cs="宋体"/>
          <w:b/>
          <w:bCs/>
          <w:color w:val="auto"/>
          <w:sz w:val="28"/>
          <w:szCs w:val="28"/>
          <w:highlight w:val="none"/>
        </w:rPr>
        <w:t>格式1-1</w:t>
      </w:r>
      <w:r>
        <w:rPr>
          <w:rFonts w:hint="eastAsia" w:hAnsi="宋体" w:cs="宋体"/>
          <w:b/>
          <w:bCs/>
          <w:color w:val="auto"/>
          <w:sz w:val="24"/>
          <w:highlight w:val="none"/>
        </w:rPr>
        <w:t xml:space="preserve">  封面</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3314107">
      <w:pPr>
        <w:shd w:val="clear" w:color="auto" w:fill="auto"/>
        <w:spacing w:line="480" w:lineRule="auto"/>
        <w:ind w:firstLine="562" w:firstLineChars="200"/>
        <w:jc w:val="right"/>
        <w:rPr>
          <w:rFonts w:hint="eastAsia" w:hAnsi="宋体" w:cs="宋体"/>
          <w:b/>
          <w:bCs/>
          <w:color w:val="auto"/>
          <w:sz w:val="28"/>
          <w:szCs w:val="28"/>
          <w:highlight w:val="none"/>
        </w:rPr>
      </w:pPr>
      <w:r>
        <w:rPr>
          <w:rFonts w:hint="eastAsia" w:hAnsi="宋体" w:cs="宋体"/>
          <w:b/>
          <w:bCs/>
          <w:color w:val="auto"/>
          <w:sz w:val="28"/>
          <w:szCs w:val="28"/>
          <w:highlight w:val="none"/>
        </w:rPr>
        <w:t>（正本/副本）</w:t>
      </w:r>
    </w:p>
    <w:p w14:paraId="755A3581">
      <w:pPr>
        <w:shd w:val="clear" w:color="auto" w:fill="auto"/>
        <w:spacing w:line="480" w:lineRule="auto"/>
        <w:ind w:firstLine="562" w:firstLineChars="200"/>
        <w:jc w:val="right"/>
        <w:rPr>
          <w:rFonts w:hint="eastAsia" w:hAnsi="宋体" w:cs="宋体"/>
          <w:b/>
          <w:bCs/>
          <w:color w:val="auto"/>
          <w:sz w:val="28"/>
          <w:szCs w:val="28"/>
          <w:highlight w:val="none"/>
        </w:rPr>
      </w:pPr>
    </w:p>
    <w:p w14:paraId="70CE4D8F">
      <w:pPr>
        <w:shd w:val="clear" w:color="auto" w:fill="auto"/>
        <w:spacing w:line="480" w:lineRule="auto"/>
        <w:ind w:firstLine="562" w:firstLineChars="200"/>
        <w:jc w:val="right"/>
        <w:rPr>
          <w:rFonts w:hint="eastAsia" w:hAnsi="宋体" w:cs="宋体"/>
          <w:b/>
          <w:bCs/>
          <w:color w:val="auto"/>
          <w:sz w:val="28"/>
          <w:szCs w:val="28"/>
          <w:highlight w:val="none"/>
        </w:rPr>
      </w:pPr>
    </w:p>
    <w:p w14:paraId="2278B3D3">
      <w:pPr>
        <w:shd w:val="clear" w:color="auto" w:fill="auto"/>
        <w:spacing w:line="480" w:lineRule="auto"/>
        <w:ind w:firstLine="723" w:firstLineChars="200"/>
        <w:jc w:val="center"/>
        <w:rPr>
          <w:rFonts w:hint="eastAsia" w:hAnsi="宋体" w:cs="宋体"/>
          <w:b/>
          <w:bCs/>
          <w:color w:val="auto"/>
          <w:sz w:val="36"/>
          <w:szCs w:val="36"/>
          <w:highlight w:val="none"/>
        </w:rPr>
      </w:pPr>
      <w:r>
        <w:rPr>
          <w:rFonts w:hint="eastAsia" w:hAnsi="宋体" w:cs="宋体"/>
          <w:b/>
          <w:bCs/>
          <w:color w:val="auto"/>
          <w:sz w:val="36"/>
          <w:szCs w:val="36"/>
          <w:highlight w:val="none"/>
          <w:u w:val="single"/>
        </w:rPr>
        <w:t xml:space="preserve">                      </w:t>
      </w:r>
      <w:r>
        <w:rPr>
          <w:rFonts w:hint="eastAsia" w:hAnsi="宋体" w:cs="宋体"/>
          <w:b/>
          <w:bCs/>
          <w:color w:val="auto"/>
          <w:sz w:val="36"/>
          <w:szCs w:val="36"/>
          <w:highlight w:val="none"/>
          <w:u w:val="single"/>
        </w:rPr>
        <w:tab/>
      </w:r>
      <w:r>
        <w:rPr>
          <w:rFonts w:hint="eastAsia" w:hAnsi="宋体" w:cs="宋体"/>
          <w:b/>
          <w:bCs/>
          <w:color w:val="auto"/>
          <w:sz w:val="36"/>
          <w:szCs w:val="36"/>
          <w:highlight w:val="none"/>
        </w:rPr>
        <w:t>项目</w:t>
      </w:r>
    </w:p>
    <w:p w14:paraId="17769376">
      <w:pPr>
        <w:shd w:val="clear" w:color="auto" w:fill="auto"/>
        <w:spacing w:line="480" w:lineRule="auto"/>
        <w:jc w:val="center"/>
        <w:rPr>
          <w:rFonts w:hint="eastAsia" w:hAnsi="宋体" w:cs="宋体"/>
          <w:b/>
          <w:bCs/>
          <w:color w:val="auto"/>
          <w:sz w:val="44"/>
          <w:szCs w:val="44"/>
          <w:highlight w:val="none"/>
        </w:rPr>
      </w:pPr>
    </w:p>
    <w:p w14:paraId="148F81F6">
      <w:pPr>
        <w:shd w:val="clear" w:color="auto" w:fill="auto"/>
        <w:spacing w:line="480" w:lineRule="auto"/>
        <w:ind w:firstLine="883" w:firstLineChars="200"/>
        <w:jc w:val="center"/>
        <w:rPr>
          <w:rFonts w:hint="eastAsia" w:hAnsi="宋体" w:cs="宋体"/>
          <w:b/>
          <w:bCs/>
          <w:color w:val="auto"/>
          <w:sz w:val="44"/>
          <w:szCs w:val="44"/>
          <w:highlight w:val="none"/>
        </w:rPr>
      </w:pPr>
      <w:r>
        <w:rPr>
          <w:rFonts w:hint="eastAsia" w:hAnsi="宋体" w:cs="宋体"/>
          <w:b/>
          <w:bCs/>
          <w:color w:val="auto"/>
          <w:sz w:val="44"/>
          <w:szCs w:val="44"/>
          <w:highlight w:val="none"/>
        </w:rPr>
        <w:t>资格性响应文件</w:t>
      </w:r>
    </w:p>
    <w:p w14:paraId="165BD4A0">
      <w:pPr>
        <w:shd w:val="clear" w:color="auto" w:fill="auto"/>
        <w:spacing w:line="480" w:lineRule="auto"/>
        <w:ind w:firstLine="643" w:firstLineChars="200"/>
        <w:jc w:val="center"/>
        <w:rPr>
          <w:rFonts w:hint="eastAsia" w:hAnsi="宋体" w:cs="宋体"/>
          <w:b/>
          <w:bCs/>
          <w:color w:val="auto"/>
          <w:sz w:val="32"/>
          <w:szCs w:val="32"/>
          <w:highlight w:val="none"/>
        </w:rPr>
      </w:pPr>
    </w:p>
    <w:p w14:paraId="297DA517">
      <w:pPr>
        <w:shd w:val="clear" w:color="auto" w:fill="auto"/>
        <w:spacing w:line="480" w:lineRule="auto"/>
        <w:ind w:firstLine="643" w:firstLineChars="200"/>
        <w:jc w:val="center"/>
        <w:rPr>
          <w:rFonts w:hint="eastAsia" w:hAnsi="宋体" w:cs="宋体"/>
          <w:b/>
          <w:bCs/>
          <w:color w:val="auto"/>
          <w:sz w:val="32"/>
          <w:szCs w:val="32"/>
          <w:highlight w:val="none"/>
        </w:rPr>
      </w:pPr>
    </w:p>
    <w:p w14:paraId="04B05508">
      <w:pPr>
        <w:pStyle w:val="13"/>
        <w:numPr>
          <w:ilvl w:val="0"/>
          <w:numId w:val="0"/>
        </w:numPr>
        <w:shd w:val="clear" w:color="auto" w:fill="auto"/>
        <w:rPr>
          <w:rFonts w:hint="eastAsia" w:ascii="宋体" w:hAnsi="宋体" w:eastAsia="宋体" w:cs="宋体"/>
          <w:color w:val="auto"/>
          <w:highlight w:val="none"/>
        </w:rPr>
      </w:pPr>
    </w:p>
    <w:p w14:paraId="3B588AB8">
      <w:pPr>
        <w:shd w:val="clear" w:color="auto" w:fill="auto"/>
        <w:spacing w:line="480" w:lineRule="auto"/>
        <w:ind w:firstLine="643" w:firstLineChars="200"/>
        <w:rPr>
          <w:rFonts w:hint="eastAsia" w:hAnsi="宋体" w:cs="宋体"/>
          <w:b/>
          <w:bCs/>
          <w:color w:val="auto"/>
          <w:sz w:val="32"/>
          <w:szCs w:val="32"/>
          <w:highlight w:val="none"/>
          <w:u w:val="single"/>
        </w:rPr>
      </w:pPr>
      <w:r>
        <w:rPr>
          <w:rFonts w:hint="eastAsia" w:hAnsi="宋体" w:cs="宋体"/>
          <w:b/>
          <w:bCs/>
          <w:color w:val="auto"/>
          <w:sz w:val="32"/>
          <w:szCs w:val="32"/>
          <w:highlight w:val="none"/>
        </w:rPr>
        <w:t>供应商名称：</w:t>
      </w:r>
      <w:r>
        <w:rPr>
          <w:rFonts w:hint="eastAsia" w:hAnsi="宋体" w:cs="宋体"/>
          <w:b/>
          <w:bCs/>
          <w:color w:val="auto"/>
          <w:sz w:val="32"/>
          <w:szCs w:val="32"/>
          <w:highlight w:val="none"/>
          <w:u w:val="single"/>
        </w:rPr>
        <w:t xml:space="preserve">                          </w:t>
      </w:r>
    </w:p>
    <w:p w14:paraId="09B1CCB0">
      <w:pPr>
        <w:shd w:val="clear" w:color="auto" w:fill="auto"/>
        <w:spacing w:line="480" w:lineRule="auto"/>
        <w:ind w:firstLine="643" w:firstLineChars="200"/>
        <w:rPr>
          <w:rFonts w:hint="eastAsia" w:hAnsi="宋体" w:cs="宋体"/>
          <w:b/>
          <w:bCs/>
          <w:color w:val="auto"/>
          <w:sz w:val="32"/>
          <w:szCs w:val="32"/>
          <w:highlight w:val="none"/>
        </w:rPr>
      </w:pPr>
      <w:r>
        <w:rPr>
          <w:rFonts w:hint="eastAsia" w:hAnsi="宋体" w:cs="宋体"/>
          <w:b/>
          <w:bCs/>
          <w:color w:val="auto"/>
          <w:sz w:val="32"/>
          <w:szCs w:val="32"/>
          <w:highlight w:val="none"/>
        </w:rPr>
        <w:t>项 目 编号：</w:t>
      </w:r>
      <w:r>
        <w:rPr>
          <w:rFonts w:hint="eastAsia" w:hAnsi="宋体" w:cs="宋体"/>
          <w:b/>
          <w:bCs/>
          <w:color w:val="auto"/>
          <w:sz w:val="32"/>
          <w:szCs w:val="32"/>
          <w:highlight w:val="none"/>
          <w:u w:val="single"/>
        </w:rPr>
        <w:t xml:space="preserve">                          </w:t>
      </w:r>
    </w:p>
    <w:p w14:paraId="654671B2">
      <w:pPr>
        <w:shd w:val="clear" w:color="auto" w:fill="auto"/>
        <w:spacing w:line="480" w:lineRule="auto"/>
        <w:ind w:firstLine="643" w:firstLineChars="200"/>
        <w:rPr>
          <w:rFonts w:hint="eastAsia" w:hAnsi="宋体" w:cs="宋体"/>
          <w:b/>
          <w:bCs/>
          <w:color w:val="auto"/>
          <w:sz w:val="32"/>
          <w:szCs w:val="32"/>
          <w:highlight w:val="none"/>
        </w:rPr>
      </w:pPr>
    </w:p>
    <w:p w14:paraId="77DE2967">
      <w:pPr>
        <w:shd w:val="clear" w:color="auto" w:fill="auto"/>
        <w:spacing w:line="480" w:lineRule="auto"/>
        <w:ind w:firstLine="643" w:firstLineChars="200"/>
        <w:rPr>
          <w:rFonts w:hint="eastAsia" w:hAnsi="宋体" w:cs="宋体"/>
          <w:b/>
          <w:bCs/>
          <w:color w:val="auto"/>
          <w:sz w:val="32"/>
          <w:szCs w:val="32"/>
          <w:highlight w:val="none"/>
        </w:rPr>
      </w:pPr>
    </w:p>
    <w:p w14:paraId="123901D8">
      <w:pPr>
        <w:shd w:val="clear" w:color="auto" w:fill="auto"/>
        <w:spacing w:line="480" w:lineRule="auto"/>
        <w:ind w:firstLine="643" w:firstLineChars="200"/>
        <w:jc w:val="right"/>
        <w:rPr>
          <w:rFonts w:hint="eastAsia" w:hAnsi="宋体" w:cs="宋体"/>
          <w:b/>
          <w:color w:val="auto"/>
          <w:sz w:val="32"/>
          <w:szCs w:val="32"/>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14:paraId="0832EA05">
      <w:pPr>
        <w:shd w:val="clear" w:color="auto" w:fill="auto"/>
        <w:spacing w:line="480" w:lineRule="auto"/>
        <w:outlineLvl w:val="9"/>
        <w:rPr>
          <w:rFonts w:hint="eastAsia" w:hAnsi="宋体" w:cs="宋体"/>
          <w:b/>
          <w:bCs/>
          <w:color w:val="auto"/>
          <w:sz w:val="28"/>
          <w:szCs w:val="28"/>
          <w:highlight w:val="none"/>
        </w:rPr>
      </w:pPr>
      <w:bookmarkStart w:id="337" w:name="_Toc5107"/>
      <w:bookmarkStart w:id="338" w:name="_Toc19160"/>
      <w:bookmarkStart w:id="339" w:name="_Toc20441"/>
      <w:bookmarkStart w:id="340" w:name="_Toc29358"/>
      <w:bookmarkStart w:id="341" w:name="_Toc11191"/>
      <w:bookmarkStart w:id="342" w:name="_Toc27956"/>
      <w:bookmarkStart w:id="343" w:name="_Toc19764"/>
      <w:bookmarkStart w:id="344" w:name="_Toc11544"/>
      <w:bookmarkStart w:id="345" w:name="_Toc32043"/>
      <w:bookmarkStart w:id="346" w:name="_Toc22196"/>
      <w:bookmarkStart w:id="347" w:name="_Toc10794"/>
      <w:r>
        <w:rPr>
          <w:rFonts w:hint="eastAsia" w:hAnsi="宋体" w:cs="宋体"/>
          <w:b/>
          <w:bCs/>
          <w:color w:val="auto"/>
          <w:sz w:val="28"/>
          <w:szCs w:val="28"/>
          <w:highlight w:val="none"/>
        </w:rPr>
        <w:br w:type="page"/>
      </w:r>
      <w:bookmarkStart w:id="348" w:name="_Toc2342"/>
      <w:r>
        <w:rPr>
          <w:rFonts w:hint="eastAsia" w:hAnsi="宋体" w:cs="宋体"/>
          <w:b/>
          <w:bCs/>
          <w:color w:val="auto"/>
          <w:sz w:val="28"/>
          <w:szCs w:val="28"/>
          <w:highlight w:val="none"/>
        </w:rPr>
        <w:t>格式1-2  法定代表人/单位负责人证明书</w:t>
      </w:r>
      <w:bookmarkEnd w:id="337"/>
      <w:bookmarkEnd w:id="338"/>
      <w:bookmarkEnd w:id="339"/>
      <w:bookmarkEnd w:id="340"/>
      <w:bookmarkEnd w:id="341"/>
      <w:bookmarkEnd w:id="342"/>
      <w:bookmarkEnd w:id="343"/>
      <w:bookmarkEnd w:id="344"/>
      <w:bookmarkEnd w:id="345"/>
      <w:bookmarkEnd w:id="346"/>
      <w:bookmarkEnd w:id="347"/>
      <w:bookmarkEnd w:id="348"/>
    </w:p>
    <w:p w14:paraId="2E1E7E0F">
      <w:pPr>
        <w:pStyle w:val="13"/>
        <w:numPr>
          <w:ilvl w:val="0"/>
          <w:numId w:val="0"/>
        </w:numPr>
        <w:shd w:val="clear" w:color="auto" w:fill="auto"/>
        <w:autoSpaceDE w:val="0"/>
        <w:autoSpaceDN w:val="0"/>
        <w:spacing w:before="239" w:line="336" w:lineRule="auto"/>
        <w:ind w:right="95" w:rightChars="2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本人系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(供应商名称)的法定代表人/单位负责人。就参加你单位组织</w:t>
      </w:r>
      <w:r>
        <w:rPr>
          <w:rFonts w:hint="eastAsia" w:ascii="宋体" w:hAnsi="宋体" w:eastAsia="宋体" w:cs="宋体"/>
          <w:color w:val="auto"/>
          <w:spacing w:val="-24"/>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(项目名称)(项目编号</w:t>
      </w:r>
      <w:r>
        <w:rPr>
          <w:rFonts w:hint="eastAsia" w:ascii="宋体" w:hAnsi="宋体" w:eastAsia="宋体" w:cs="宋体"/>
          <w:color w:val="auto"/>
          <w:spacing w:val="-24"/>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24"/>
          <w:sz w:val="24"/>
          <w:highlight w:val="none"/>
        </w:rPr>
        <w:t>”</w:t>
      </w:r>
      <w:r>
        <w:rPr>
          <w:rFonts w:hint="eastAsia" w:ascii="宋体" w:hAnsi="宋体" w:eastAsia="宋体" w:cs="宋体"/>
          <w:color w:val="auto"/>
          <w:sz w:val="24"/>
          <w:highlight w:val="none"/>
        </w:rPr>
        <w:t>的磋商采购活动</w:t>
      </w:r>
      <w:r>
        <w:rPr>
          <w:rFonts w:hint="eastAsia" w:ascii="宋体" w:hAnsi="宋体" w:eastAsia="宋体" w:cs="宋体"/>
          <w:color w:val="auto"/>
          <w:spacing w:val="-22"/>
          <w:sz w:val="24"/>
          <w:highlight w:val="none"/>
        </w:rPr>
        <w:t>、</w:t>
      </w:r>
      <w:r>
        <w:rPr>
          <w:rFonts w:hint="eastAsia" w:ascii="宋体" w:hAnsi="宋体" w:eastAsia="宋体" w:cs="宋体"/>
          <w:color w:val="auto"/>
          <w:sz w:val="24"/>
          <w:highlight w:val="none"/>
        </w:rPr>
        <w:t>并参与项目的磋商</w:t>
      </w:r>
      <w:r>
        <w:rPr>
          <w:rFonts w:hint="eastAsia" w:ascii="宋体" w:hAnsi="宋体" w:eastAsia="宋体" w:cs="宋体"/>
          <w:color w:val="auto"/>
          <w:spacing w:val="-32"/>
          <w:sz w:val="24"/>
          <w:highlight w:val="none"/>
        </w:rPr>
        <w:t>、</w:t>
      </w:r>
      <w:r>
        <w:rPr>
          <w:rFonts w:hint="eastAsia" w:ascii="宋体" w:hAnsi="宋体" w:eastAsia="宋体" w:cs="宋体"/>
          <w:color w:val="auto"/>
          <w:sz w:val="24"/>
          <w:highlight w:val="none"/>
        </w:rPr>
        <w:t>签订合同以及执行合同等一切事宜</w:t>
      </w:r>
      <w:r>
        <w:rPr>
          <w:rFonts w:hint="eastAsia" w:ascii="宋体" w:hAnsi="宋体" w:eastAsia="宋体" w:cs="宋体"/>
          <w:color w:val="auto"/>
          <w:spacing w:val="-32"/>
          <w:sz w:val="24"/>
          <w:highlight w:val="none"/>
        </w:rPr>
        <w:t>，</w:t>
      </w:r>
      <w:r>
        <w:rPr>
          <w:rFonts w:hint="eastAsia" w:ascii="宋体" w:hAnsi="宋体" w:eastAsia="宋体" w:cs="宋体"/>
          <w:color w:val="auto"/>
          <w:sz w:val="24"/>
          <w:highlight w:val="none"/>
        </w:rPr>
        <w:t>我单位均予承认</w:t>
      </w:r>
      <w:r>
        <w:rPr>
          <w:rFonts w:hint="eastAsia" w:ascii="宋体" w:hAnsi="宋体" w:eastAsia="宋体" w:cs="宋体"/>
          <w:color w:val="auto"/>
          <w:spacing w:val="-34"/>
          <w:sz w:val="24"/>
          <w:highlight w:val="none"/>
        </w:rPr>
        <w:t>，</w:t>
      </w:r>
      <w:r>
        <w:rPr>
          <w:rFonts w:hint="eastAsia" w:ascii="宋体" w:hAnsi="宋体" w:eastAsia="宋体" w:cs="宋体"/>
          <w:color w:val="auto"/>
          <w:sz w:val="24"/>
          <w:highlight w:val="none"/>
        </w:rPr>
        <w:t>所产生的法律后果均由我单位承担。</w:t>
      </w:r>
    </w:p>
    <w:p w14:paraId="7E20FDCA">
      <w:pPr>
        <w:pStyle w:val="13"/>
        <w:numPr>
          <w:ilvl w:val="0"/>
          <w:numId w:val="0"/>
        </w:numPr>
        <w:shd w:val="clear" w:color="auto" w:fill="auto"/>
        <w:spacing w:before="29"/>
        <w:ind w:left="680" w:leftChars="200" w:right="95" w:rightChars="28"/>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E0E6926">
      <w:pPr>
        <w:shd w:val="clear" w:color="auto" w:fill="auto"/>
        <w:rPr>
          <w:rFonts w:hint="eastAsia" w:hAnsi="宋体" w:cs="宋体"/>
          <w:b/>
          <w:bCs/>
          <w:color w:val="auto"/>
          <w:sz w:val="32"/>
          <w:szCs w:val="32"/>
          <w:highlight w:val="none"/>
        </w:rPr>
      </w:pPr>
    </w:p>
    <w:p w14:paraId="21027076">
      <w:pPr>
        <w:pStyle w:val="13"/>
        <w:numPr>
          <w:ilvl w:val="0"/>
          <w:numId w:val="0"/>
        </w:numPr>
        <w:shd w:val="clear" w:color="auto" w:fill="auto"/>
        <w:rPr>
          <w:rFonts w:hint="eastAsia" w:ascii="宋体" w:hAnsi="宋体" w:eastAsia="宋体" w:cs="宋体"/>
          <w:color w:val="auto"/>
          <w:highlight w:val="none"/>
        </w:rPr>
      </w:pPr>
    </w:p>
    <w:p w14:paraId="0A5716F4">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（单位公章）。</w:t>
      </w:r>
    </w:p>
    <w:p w14:paraId="6A8195F0">
      <w:pPr>
        <w:shd w:val="clear" w:color="auto" w:fill="auto"/>
        <w:spacing w:line="480" w:lineRule="auto"/>
        <w:rPr>
          <w:rFonts w:hint="eastAsia" w:hAnsi="宋体" w:cs="宋体"/>
          <w:b/>
          <w:bCs/>
          <w:color w:val="auto"/>
          <w:sz w:val="24"/>
          <w:highlight w:val="none"/>
        </w:rPr>
      </w:pPr>
      <w:r>
        <w:rPr>
          <w:rFonts w:hint="eastAsia" w:hAnsi="宋体" w:cs="宋体"/>
          <w:color w:val="auto"/>
          <w:sz w:val="24"/>
          <w:highlight w:val="none"/>
        </w:rPr>
        <w:t>日    期：</w:t>
      </w:r>
    </w:p>
    <w:p w14:paraId="5F618FF1">
      <w:pPr>
        <w:pStyle w:val="13"/>
        <w:numPr>
          <w:ilvl w:val="0"/>
          <w:numId w:val="0"/>
        </w:numPr>
        <w:shd w:val="clear" w:color="auto" w:fill="auto"/>
        <w:outlineLvl w:val="9"/>
        <w:rPr>
          <w:rFonts w:hint="eastAsia" w:ascii="宋体" w:hAnsi="宋体" w:eastAsia="宋体" w:cs="宋体"/>
          <w:b/>
          <w:bCs/>
          <w:color w:val="auto"/>
          <w:sz w:val="24"/>
          <w:highlight w:val="none"/>
        </w:rPr>
      </w:pPr>
    </w:p>
    <w:p w14:paraId="7A3F1BC6">
      <w:pPr>
        <w:pStyle w:val="21"/>
        <w:shd w:val="clear" w:color="auto" w:fill="auto"/>
        <w:outlineLvl w:val="9"/>
        <w:rPr>
          <w:rFonts w:hint="eastAsia" w:ascii="宋体" w:hAnsi="宋体" w:cs="宋体"/>
          <w:b w:val="0"/>
          <w:bCs w:val="0"/>
          <w:color w:val="auto"/>
          <w:sz w:val="24"/>
          <w:highlight w:val="none"/>
        </w:rPr>
      </w:pPr>
    </w:p>
    <w:p w14:paraId="4F2081E8">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注：1.法定代表人/单位负责人直接参与磋商并签署竞争性磋商文件时才须提供;</w:t>
      </w:r>
    </w:p>
    <w:p w14:paraId="72CF50F8">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2.应附法定代表人/单位负责人身份证(正反面)复印件; (提供身份证有困难的，也可提供户口本或军官证或护照等身份证明材料)</w:t>
      </w:r>
    </w:p>
    <w:p w14:paraId="475C883B">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3.供应商为自然人的可不附此证明书，只须提供自然人身份证(正反面)复印件;(提供身份证有困难的，也可提供户口本或军官证或护照等身份证明材料)。</w:t>
      </w:r>
    </w:p>
    <w:p w14:paraId="252E2767">
      <w:pPr>
        <w:shd w:val="clear" w:color="auto" w:fill="auto"/>
        <w:spacing w:line="480" w:lineRule="auto"/>
        <w:outlineLvl w:val="1"/>
        <w:rPr>
          <w:rFonts w:hint="eastAsia" w:hAnsi="宋体" w:cs="宋体"/>
          <w:b/>
          <w:bCs/>
          <w:color w:val="auto"/>
          <w:sz w:val="28"/>
          <w:szCs w:val="28"/>
          <w:highlight w:val="none"/>
        </w:rPr>
      </w:pPr>
      <w:bookmarkStart w:id="349" w:name="_Toc14950"/>
      <w:bookmarkStart w:id="350" w:name="_Toc30012"/>
      <w:bookmarkStart w:id="351" w:name="_Toc12590"/>
      <w:bookmarkStart w:id="352" w:name="_Toc26878"/>
      <w:bookmarkStart w:id="353" w:name="_Toc5956"/>
      <w:bookmarkStart w:id="354" w:name="_Toc22479"/>
      <w:bookmarkStart w:id="355" w:name="_Toc20588"/>
      <w:bookmarkStart w:id="356" w:name="_Toc3660"/>
      <w:bookmarkStart w:id="357" w:name="_Toc2726"/>
      <w:bookmarkStart w:id="358" w:name="_Toc1549"/>
      <w:bookmarkStart w:id="359" w:name="_Toc12451"/>
      <w:bookmarkStart w:id="360" w:name="_Toc733"/>
      <w:r>
        <w:rPr>
          <w:rFonts w:hint="eastAsia" w:hAnsi="宋体" w:cs="宋体"/>
          <w:b/>
          <w:bCs/>
          <w:color w:val="auto"/>
          <w:sz w:val="28"/>
          <w:szCs w:val="28"/>
          <w:highlight w:val="none"/>
        </w:rPr>
        <w:br w:type="page"/>
      </w:r>
      <w:bookmarkStart w:id="361" w:name="_Toc15159"/>
      <w:bookmarkStart w:id="362" w:name="_Toc17158"/>
      <w:r>
        <w:rPr>
          <w:rFonts w:hint="eastAsia" w:hAnsi="宋体" w:cs="宋体"/>
          <w:b/>
          <w:bCs/>
          <w:color w:val="auto"/>
          <w:sz w:val="28"/>
          <w:szCs w:val="28"/>
          <w:highlight w:val="none"/>
        </w:rPr>
        <w:t>格式1-3  法定代表人/单位负责人授权书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1FCA549">
      <w:pPr>
        <w:shd w:val="clear" w:color="auto" w:fill="auto"/>
        <w:spacing w:line="400" w:lineRule="exact"/>
        <w:rPr>
          <w:rFonts w:hint="eastAsia" w:hAnsi="宋体" w:cs="宋体"/>
          <w:bCs/>
          <w:color w:val="auto"/>
          <w:sz w:val="24"/>
          <w:highlight w:val="none"/>
        </w:rPr>
      </w:pPr>
    </w:p>
    <w:p w14:paraId="7B904D41">
      <w:pPr>
        <w:shd w:val="clear" w:color="auto" w:fill="auto"/>
        <w:spacing w:line="400" w:lineRule="exact"/>
        <w:rPr>
          <w:rFonts w:hint="eastAsia" w:hAnsi="宋体" w:cs="宋体"/>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（采购代理机构名称）：</w:t>
      </w:r>
    </w:p>
    <w:p w14:paraId="6DBC9FE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本授权声明：</w:t>
      </w:r>
      <w:r>
        <w:rPr>
          <w:rFonts w:hint="eastAsia" w:hAnsi="宋体" w:cs="宋体"/>
          <w:color w:val="auto"/>
          <w:sz w:val="24"/>
          <w:highlight w:val="none"/>
          <w:u w:val="single"/>
        </w:rPr>
        <w:t xml:space="preserve">                  </w:t>
      </w:r>
      <w:r>
        <w:rPr>
          <w:rFonts w:hint="eastAsia" w:hAnsi="宋体" w:cs="宋体"/>
          <w:color w:val="auto"/>
          <w:sz w:val="24"/>
          <w:highlight w:val="none"/>
        </w:rPr>
        <w:t>（单位名称）,</w:t>
      </w:r>
      <w:r>
        <w:rPr>
          <w:rFonts w:hint="eastAsia" w:hAnsi="宋体" w:cs="宋体"/>
          <w:color w:val="auto"/>
          <w:sz w:val="24"/>
          <w:highlight w:val="none"/>
          <w:u w:val="single"/>
        </w:rPr>
        <w:t xml:space="preserve">                  </w:t>
      </w:r>
      <w:r>
        <w:rPr>
          <w:rFonts w:hint="eastAsia" w:hAnsi="宋体" w:cs="宋体"/>
          <w:color w:val="auto"/>
          <w:sz w:val="24"/>
          <w:highlight w:val="none"/>
        </w:rPr>
        <w:t>（法定代表人姓名、职务）授权</w:t>
      </w:r>
      <w:r>
        <w:rPr>
          <w:rFonts w:hint="eastAsia" w:hAnsi="宋体" w:cs="宋体"/>
          <w:color w:val="auto"/>
          <w:sz w:val="24"/>
          <w:highlight w:val="none"/>
          <w:u w:val="single"/>
        </w:rPr>
        <w:t xml:space="preserve">                  </w:t>
      </w:r>
      <w:r>
        <w:rPr>
          <w:rFonts w:hint="eastAsia" w:hAnsi="宋体" w:cs="宋体"/>
          <w:color w:val="auto"/>
          <w:sz w:val="24"/>
          <w:highlight w:val="none"/>
        </w:rPr>
        <w:t>（被授权人姓名、职务）为我方参加</w:t>
      </w:r>
      <w:r>
        <w:rPr>
          <w:rFonts w:hint="eastAsia" w:hAnsi="宋体" w:cs="宋体"/>
          <w:color w:val="auto"/>
          <w:sz w:val="24"/>
          <w:highlight w:val="none"/>
          <w:u w:val="single"/>
        </w:rPr>
        <w:t xml:space="preserve">                  </w:t>
      </w:r>
      <w:r>
        <w:rPr>
          <w:rFonts w:hint="eastAsia" w:hAnsi="宋体" w:cs="宋体"/>
          <w:color w:val="auto"/>
          <w:sz w:val="24"/>
          <w:highlight w:val="none"/>
        </w:rPr>
        <w:t>项目（采购编号：</w:t>
      </w:r>
      <w:r>
        <w:rPr>
          <w:rFonts w:hint="eastAsia" w:hAnsi="宋体" w:cs="宋体"/>
          <w:color w:val="auto"/>
          <w:sz w:val="24"/>
          <w:highlight w:val="none"/>
          <w:u w:val="single"/>
        </w:rPr>
        <w:t xml:space="preserve">                  </w:t>
      </w:r>
      <w:r>
        <w:rPr>
          <w:rFonts w:hint="eastAsia" w:hAnsi="宋体" w:cs="宋体"/>
          <w:color w:val="auto"/>
          <w:sz w:val="24"/>
          <w:highlight w:val="none"/>
        </w:rPr>
        <w:t>）磋商采购活动的合法代表，以我方名义全权处理该项目有关磋商、报价、签订合同以及执行合同等一切事宜。</w:t>
      </w:r>
    </w:p>
    <w:p w14:paraId="05AE3F85">
      <w:pPr>
        <w:shd w:val="clear" w:color="auto" w:fill="auto"/>
        <w:spacing w:line="400" w:lineRule="exact"/>
        <w:ind w:firstLine="480" w:firstLineChars="200"/>
        <w:rPr>
          <w:rFonts w:hint="eastAsia" w:hAnsi="宋体" w:cs="宋体"/>
          <w:color w:val="auto"/>
          <w:sz w:val="24"/>
          <w:highlight w:val="none"/>
        </w:rPr>
      </w:pPr>
    </w:p>
    <w:p w14:paraId="23650E2F">
      <w:pPr>
        <w:shd w:val="clear" w:color="auto" w:fill="auto"/>
        <w:spacing w:line="400" w:lineRule="exact"/>
        <w:ind w:firstLine="480" w:firstLineChars="200"/>
        <w:rPr>
          <w:rFonts w:hint="eastAsia" w:hAnsi="宋体" w:cs="宋体"/>
          <w:color w:val="auto"/>
          <w:sz w:val="24"/>
          <w:highlight w:val="none"/>
        </w:rPr>
      </w:pPr>
    </w:p>
    <w:p w14:paraId="3A6A7A6B">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法定代表人签字：</w:t>
      </w:r>
    </w:p>
    <w:p w14:paraId="01EAE05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授权代表签字：</w:t>
      </w:r>
    </w:p>
    <w:p w14:paraId="5C67E366">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供应商名称：         （盖章）</w:t>
      </w:r>
    </w:p>
    <w:p w14:paraId="3DA0AFE6">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日    期：</w:t>
      </w:r>
    </w:p>
    <w:p w14:paraId="31F2B1B2">
      <w:pPr>
        <w:shd w:val="clear" w:color="auto" w:fill="auto"/>
        <w:spacing w:line="480" w:lineRule="auto"/>
        <w:ind w:firstLine="482" w:firstLineChars="200"/>
        <w:jc w:val="center"/>
        <w:outlineLvl w:val="9"/>
        <w:rPr>
          <w:rFonts w:hint="eastAsia" w:hAnsi="宋体" w:cs="宋体"/>
          <w:b/>
          <w:bCs/>
          <w:color w:val="auto"/>
          <w:sz w:val="24"/>
          <w:highlight w:val="none"/>
        </w:rPr>
      </w:pPr>
    </w:p>
    <w:p w14:paraId="694BA966">
      <w:pPr>
        <w:shd w:val="clear" w:color="auto" w:fill="auto"/>
        <w:spacing w:line="480" w:lineRule="auto"/>
        <w:ind w:firstLine="482" w:firstLineChars="200"/>
        <w:jc w:val="center"/>
        <w:outlineLvl w:val="9"/>
        <w:rPr>
          <w:rFonts w:hint="eastAsia" w:hAnsi="宋体" w:cs="宋体"/>
          <w:b/>
          <w:bCs/>
          <w:color w:val="auto"/>
          <w:sz w:val="24"/>
          <w:highlight w:val="none"/>
        </w:rPr>
      </w:pPr>
    </w:p>
    <w:p w14:paraId="1A9A2168">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注：1.法定代表人/单位负责人不亲自参加磋商，而授权代表参加磋商的适用。</w:t>
      </w:r>
    </w:p>
    <w:p w14:paraId="4FE0C834">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2.供应商为法人单位时提供“法定代表人授权书”，供应商为其他组织时提供“负责人授权书”，供应商为自然人时提供“自然人身份证明材料”。</w:t>
      </w:r>
    </w:p>
    <w:p w14:paraId="75E55EDA">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3.应附法定代表人/单位负责人身份证明材料复印件和授权代表身份证明材料复印件。</w:t>
      </w:r>
    </w:p>
    <w:p w14:paraId="4765E18F">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4.身份证明材料包括居民身份证或户口本或军官证或护照等。</w:t>
      </w:r>
    </w:p>
    <w:p w14:paraId="2B805230">
      <w:pPr>
        <w:shd w:val="clear" w:color="auto" w:fill="auto"/>
        <w:spacing w:line="360" w:lineRule="auto"/>
        <w:outlineLvl w:val="9"/>
        <w:rPr>
          <w:rFonts w:hint="eastAsia" w:hAnsi="宋体" w:cs="宋体"/>
          <w:b/>
          <w:bCs/>
          <w:color w:val="auto"/>
          <w:sz w:val="24"/>
          <w:highlight w:val="none"/>
        </w:rPr>
      </w:pPr>
      <w:r>
        <w:rPr>
          <w:rFonts w:hint="eastAsia" w:hAnsi="宋体" w:cs="宋体"/>
          <w:b/>
          <w:bCs/>
          <w:color w:val="auto"/>
          <w:sz w:val="24"/>
          <w:highlight w:val="none"/>
        </w:rPr>
        <w:t>5.身份证明材料应同时提供其在有效期的材料，如居民身份证正、反面复印件。</w:t>
      </w:r>
    </w:p>
    <w:p w14:paraId="02775658">
      <w:pPr>
        <w:shd w:val="clear" w:color="auto" w:fill="auto"/>
        <w:spacing w:line="480" w:lineRule="auto"/>
        <w:outlineLvl w:val="1"/>
        <w:rPr>
          <w:rFonts w:hint="eastAsia" w:hAnsi="宋体" w:cs="宋体"/>
          <w:b/>
          <w:bCs/>
          <w:color w:val="auto"/>
          <w:sz w:val="28"/>
          <w:szCs w:val="28"/>
          <w:highlight w:val="none"/>
        </w:rPr>
      </w:pPr>
      <w:bookmarkStart w:id="363" w:name="_Toc26940"/>
      <w:bookmarkStart w:id="364" w:name="_Toc29619"/>
      <w:bookmarkStart w:id="365" w:name="_Toc8436"/>
      <w:bookmarkStart w:id="366" w:name="_Toc16157"/>
      <w:bookmarkStart w:id="367" w:name="_Toc18529"/>
      <w:bookmarkStart w:id="368" w:name="_Toc29209"/>
      <w:bookmarkStart w:id="369" w:name="_Toc15968"/>
      <w:bookmarkStart w:id="370" w:name="_Toc28281"/>
      <w:bookmarkStart w:id="371" w:name="_Toc7456"/>
      <w:bookmarkStart w:id="372" w:name="_Toc16432"/>
      <w:bookmarkStart w:id="373" w:name="_Toc4951"/>
      <w:bookmarkStart w:id="374" w:name="_Toc8966"/>
      <w:r>
        <w:rPr>
          <w:rFonts w:hint="eastAsia" w:hAnsi="宋体" w:cs="宋体"/>
          <w:b/>
          <w:bCs/>
          <w:color w:val="auto"/>
          <w:sz w:val="28"/>
          <w:szCs w:val="28"/>
          <w:highlight w:val="none"/>
        </w:rPr>
        <w:br w:type="page"/>
      </w:r>
      <w:bookmarkStart w:id="375" w:name="_Toc6300"/>
      <w:bookmarkStart w:id="376" w:name="_Toc1249"/>
      <w:r>
        <w:rPr>
          <w:rFonts w:hint="eastAsia" w:hAnsi="宋体" w:cs="宋体"/>
          <w:b/>
          <w:bCs/>
          <w:color w:val="auto"/>
          <w:sz w:val="28"/>
          <w:szCs w:val="28"/>
          <w:highlight w:val="none"/>
        </w:rPr>
        <w:t>格式1-4  承诺函</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642CBA5">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（采购代理机构名称）：</w:t>
      </w:r>
    </w:p>
    <w:p w14:paraId="7ABBDB27">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我公司作为本次采购项目的供应商，根据磋商文件要求，现郑重承诺如下：</w:t>
      </w:r>
    </w:p>
    <w:p w14:paraId="67A50D3B">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一、具备本项目规定的条件：</w:t>
      </w:r>
    </w:p>
    <w:p w14:paraId="507378B4">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（一）具有独立承担民事责任的能力；</w:t>
      </w:r>
    </w:p>
    <w:p w14:paraId="17BAB15C">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（二）具有良好的商业信誉和健全的财务会计制度；</w:t>
      </w:r>
    </w:p>
    <w:p w14:paraId="3F3BB055">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（三）具有履行合同所必需的设备和专业技术能力；</w:t>
      </w:r>
    </w:p>
    <w:p w14:paraId="6E5B5649">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（四）有依法缴纳税收和社会保障资金的良好记录；</w:t>
      </w:r>
    </w:p>
    <w:p w14:paraId="0730BB5E">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（五）参加采购活动前三年内，在经营活动中没有重大违法记录；</w:t>
      </w:r>
    </w:p>
    <w:p w14:paraId="1EE47B0C">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（六）法律、行政法规规定的其他条件；</w:t>
      </w:r>
    </w:p>
    <w:p w14:paraId="6B61AB6F">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157DDF8F">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三、在参加本次采购活动中，不存在与单位负责人为同一人或者存在直接控股、管理关系的其他供应商参与同一合同项下的采购活动的行为。</w:t>
      </w:r>
    </w:p>
    <w:p w14:paraId="22C475C3">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四、在参加本次采购活动中，不存在和其他供应商在同一合同项下的采购项目中，同时委托同一个自然人、同一家庭的人员、同一单位的人员作为代理人的行为。</w:t>
      </w:r>
    </w:p>
    <w:p w14:paraId="0EF467E7">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五、响应文件中提供的任何资料和技术、服务、商务等响应承诺情况都是真实的、有效的、合法的。</w:t>
      </w:r>
    </w:p>
    <w:p w14:paraId="28131096">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六、我公司完全同意磋商文件中关于知识产权的说明，承诺由此造成的纠纷由我单位全权负责。</w:t>
      </w:r>
    </w:p>
    <w:p w14:paraId="5464A56D">
      <w:pPr>
        <w:shd w:val="clear" w:color="auto" w:fill="auto"/>
        <w:ind w:firstLine="480" w:firstLineChars="200"/>
        <w:rPr>
          <w:rFonts w:hint="eastAsia" w:hAnsi="宋体" w:cs="宋体"/>
          <w:color w:val="auto"/>
          <w:sz w:val="24"/>
          <w:highlight w:val="none"/>
        </w:rPr>
      </w:pPr>
      <w:r>
        <w:rPr>
          <w:rFonts w:hint="eastAsia" w:hAnsi="宋体" w:cs="宋体"/>
          <w:color w:val="auto"/>
          <w:sz w:val="24"/>
          <w:highlight w:val="none"/>
        </w:rPr>
        <w:t>本公司对上述承诺的内容事项真实性负责。如经查实上述承诺的内容事项存在虚假，我公司愿意接受以提供虚假材料谋取成交的法律责任。</w:t>
      </w:r>
    </w:p>
    <w:p w14:paraId="3F4150DA">
      <w:pPr>
        <w:shd w:val="clear" w:color="auto" w:fill="auto"/>
        <w:ind w:firstLine="480" w:firstLineChars="200"/>
        <w:jc w:val="left"/>
        <w:rPr>
          <w:rFonts w:hint="eastAsia" w:hAnsi="宋体" w:cs="宋体"/>
          <w:color w:val="auto"/>
          <w:sz w:val="24"/>
          <w:highlight w:val="none"/>
        </w:rPr>
      </w:pPr>
    </w:p>
    <w:p w14:paraId="56874EBB">
      <w:pPr>
        <w:shd w:val="clear" w:color="auto" w:fill="auto"/>
        <w:ind w:firstLine="480" w:firstLineChars="200"/>
        <w:jc w:val="left"/>
        <w:rPr>
          <w:rFonts w:hint="eastAsia" w:hAnsi="宋体" w:cs="宋体"/>
          <w:color w:val="auto"/>
          <w:sz w:val="24"/>
          <w:highlight w:val="none"/>
        </w:rPr>
      </w:pPr>
    </w:p>
    <w:p w14:paraId="6BA112FC">
      <w:pPr>
        <w:shd w:val="clear" w:color="auto" w:fill="auto"/>
        <w:adjustRightInd w:val="0"/>
        <w:spacing w:line="400" w:lineRule="exact"/>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7A387C0D">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1B586CA7">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日  期：   年  月   日</w:t>
      </w:r>
    </w:p>
    <w:p w14:paraId="5E39E961">
      <w:pPr>
        <w:shd w:val="clear" w:color="auto" w:fill="auto"/>
        <w:jc w:val="center"/>
        <w:rPr>
          <w:rFonts w:hint="eastAsia" w:hAnsi="宋体" w:cs="宋体"/>
          <w:bCs/>
          <w:color w:val="auto"/>
          <w:sz w:val="30"/>
          <w:szCs w:val="30"/>
          <w:highlight w:val="none"/>
        </w:rPr>
      </w:pPr>
    </w:p>
    <w:p w14:paraId="0A38159E">
      <w:pPr>
        <w:shd w:val="clear" w:color="auto" w:fill="auto"/>
        <w:spacing w:line="480" w:lineRule="auto"/>
        <w:outlineLvl w:val="1"/>
        <w:rPr>
          <w:rFonts w:hint="eastAsia" w:hAnsi="宋体" w:cs="宋体"/>
          <w:b/>
          <w:bCs/>
          <w:color w:val="auto"/>
          <w:sz w:val="28"/>
          <w:szCs w:val="28"/>
          <w:highlight w:val="none"/>
        </w:rPr>
      </w:pPr>
      <w:bookmarkStart w:id="377" w:name="_Toc20061"/>
      <w:bookmarkStart w:id="378" w:name="_Toc26302"/>
      <w:bookmarkStart w:id="379" w:name="_Toc31642"/>
      <w:bookmarkStart w:id="380" w:name="_Toc27815"/>
      <w:bookmarkStart w:id="381" w:name="_Toc12933"/>
      <w:bookmarkStart w:id="382" w:name="_Toc20344"/>
      <w:bookmarkStart w:id="383" w:name="_Toc21336"/>
      <w:bookmarkStart w:id="384" w:name="_Toc31562"/>
      <w:bookmarkStart w:id="385" w:name="_Toc18667"/>
      <w:bookmarkStart w:id="386" w:name="_Toc2128"/>
      <w:bookmarkStart w:id="387" w:name="_Toc28687"/>
      <w:bookmarkStart w:id="388" w:name="_Toc30109"/>
      <w:r>
        <w:rPr>
          <w:rFonts w:hint="eastAsia" w:hAnsi="宋体" w:cs="宋体"/>
          <w:b/>
          <w:bCs/>
          <w:color w:val="auto"/>
          <w:sz w:val="28"/>
          <w:szCs w:val="28"/>
          <w:highlight w:val="none"/>
        </w:rPr>
        <w:br w:type="page"/>
      </w:r>
      <w:bookmarkStart w:id="389" w:name="_Toc30906"/>
      <w:bookmarkStart w:id="390" w:name="_Toc23568"/>
      <w:r>
        <w:rPr>
          <w:rFonts w:hint="eastAsia" w:hAnsi="宋体" w:cs="宋体"/>
          <w:b/>
          <w:bCs/>
          <w:color w:val="auto"/>
          <w:sz w:val="28"/>
          <w:szCs w:val="28"/>
          <w:highlight w:val="none"/>
        </w:rPr>
        <w:t>格式1-5  具有良好的商业信誉承诺函</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36BDD246">
      <w:pPr>
        <w:shd w:val="clear" w:color="auto" w:fill="auto"/>
        <w:rPr>
          <w:rFonts w:hint="eastAsia" w:hAnsi="宋体" w:cs="宋体"/>
          <w:color w:val="auto"/>
          <w:highlight w:val="none"/>
        </w:rPr>
      </w:pPr>
    </w:p>
    <w:p w14:paraId="0548047E">
      <w:pPr>
        <w:shd w:val="clear" w:color="auto" w:fill="auto"/>
        <w:spacing w:line="360" w:lineRule="auto"/>
        <w:rPr>
          <w:rFonts w:hint="eastAsia" w:hAnsi="宋体" w:cs="宋体"/>
          <w:color w:val="auto"/>
          <w:sz w:val="24"/>
          <w:highlight w:val="none"/>
          <w:u w:val="single"/>
        </w:rPr>
      </w:pPr>
    </w:p>
    <w:p w14:paraId="188239EE">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（采购代理机构名称）：</w:t>
      </w:r>
    </w:p>
    <w:p w14:paraId="6EADBB95">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我公司承诺在参加此</w:t>
      </w:r>
      <w:r>
        <w:rPr>
          <w:rFonts w:hint="eastAsia" w:hAnsi="宋体" w:cs="宋体"/>
          <w:color w:val="auto"/>
          <w:sz w:val="24"/>
          <w:highlight w:val="none"/>
          <w:u w:val="single"/>
        </w:rPr>
        <w:t xml:space="preserve">                </w:t>
      </w:r>
      <w:r>
        <w:rPr>
          <w:rFonts w:hint="eastAsia" w:hAnsi="宋体" w:cs="宋体"/>
          <w:color w:val="auto"/>
          <w:sz w:val="24"/>
          <w:highlight w:val="none"/>
        </w:rPr>
        <w:t>（项目名称）（项目编号：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）项目磋商采购前，没有被纳入法院、工商行政管理部门、税务部门、银行认定的失信名单，且在采购合同履约过程中及其他经营活动履约过程中良好履约，我公司具备良好的商业信誉。</w:t>
      </w:r>
    </w:p>
    <w:p w14:paraId="6B290E7B">
      <w:pPr>
        <w:shd w:val="clear" w:color="auto" w:fill="auto"/>
        <w:spacing w:line="360" w:lineRule="auto"/>
        <w:ind w:firstLine="480" w:firstLineChars="200"/>
        <w:rPr>
          <w:rFonts w:hint="eastAsia" w:hAnsi="宋体" w:cs="宋体"/>
          <w:color w:val="auto"/>
          <w:sz w:val="24"/>
          <w:highlight w:val="none"/>
        </w:rPr>
      </w:pPr>
    </w:p>
    <w:p w14:paraId="37D1F6C4">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特此承诺！</w:t>
      </w:r>
    </w:p>
    <w:p w14:paraId="572D42E7">
      <w:pPr>
        <w:shd w:val="clear" w:color="auto" w:fill="auto"/>
        <w:spacing w:line="480" w:lineRule="auto"/>
        <w:ind w:firstLine="482" w:firstLineChars="200"/>
        <w:jc w:val="center"/>
        <w:outlineLvl w:val="9"/>
        <w:rPr>
          <w:rFonts w:hint="eastAsia" w:hAnsi="宋体" w:cs="宋体"/>
          <w:b/>
          <w:bCs/>
          <w:color w:val="auto"/>
          <w:sz w:val="24"/>
          <w:highlight w:val="none"/>
        </w:rPr>
      </w:pPr>
    </w:p>
    <w:p w14:paraId="1A97ECDC">
      <w:pPr>
        <w:shd w:val="clear" w:color="auto" w:fill="auto"/>
        <w:spacing w:line="480" w:lineRule="auto"/>
        <w:ind w:firstLine="482" w:firstLineChars="200"/>
        <w:jc w:val="center"/>
        <w:outlineLvl w:val="9"/>
        <w:rPr>
          <w:rFonts w:hint="eastAsia" w:hAnsi="宋体" w:cs="宋体"/>
          <w:b/>
          <w:bCs/>
          <w:color w:val="auto"/>
          <w:sz w:val="24"/>
          <w:highlight w:val="none"/>
        </w:rPr>
      </w:pPr>
    </w:p>
    <w:p w14:paraId="6A9134FD">
      <w:pPr>
        <w:shd w:val="clear" w:color="auto" w:fill="auto"/>
        <w:spacing w:line="480" w:lineRule="auto"/>
        <w:ind w:firstLine="482" w:firstLineChars="200"/>
        <w:jc w:val="center"/>
        <w:outlineLvl w:val="9"/>
        <w:rPr>
          <w:rFonts w:hint="eastAsia" w:hAnsi="宋体" w:cs="宋体"/>
          <w:b/>
          <w:bCs/>
          <w:color w:val="auto"/>
          <w:sz w:val="24"/>
          <w:highlight w:val="none"/>
        </w:rPr>
      </w:pPr>
    </w:p>
    <w:p w14:paraId="7A9F6261">
      <w:pPr>
        <w:shd w:val="clear" w:color="auto" w:fill="auto"/>
        <w:adjustRightInd w:val="0"/>
        <w:spacing w:line="400" w:lineRule="exact"/>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3A0874C9">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2638FA85">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7A96305C">
      <w:pPr>
        <w:shd w:val="clear" w:color="auto" w:fill="auto"/>
        <w:spacing w:line="360" w:lineRule="auto"/>
        <w:outlineLvl w:val="9"/>
        <w:rPr>
          <w:rFonts w:hint="eastAsia" w:hAnsi="宋体" w:cs="宋体"/>
          <w:color w:val="auto"/>
          <w:sz w:val="24"/>
          <w:highlight w:val="none"/>
        </w:rPr>
      </w:pPr>
      <w:r>
        <w:rPr>
          <w:rFonts w:hint="eastAsia" w:hAnsi="宋体" w:cs="宋体"/>
          <w:color w:val="auto"/>
          <w:sz w:val="24"/>
          <w:highlight w:val="none"/>
        </w:rPr>
        <w:t xml:space="preserve"> </w:t>
      </w:r>
      <w:bookmarkStart w:id="391" w:name="_Toc18969"/>
      <w:bookmarkStart w:id="392" w:name="_Toc9910"/>
      <w:bookmarkStart w:id="393" w:name="_Toc11691"/>
      <w:bookmarkStart w:id="394" w:name="_Toc6476"/>
      <w:bookmarkStart w:id="395" w:name="_Toc31677"/>
      <w:bookmarkStart w:id="396" w:name="_Toc19118"/>
      <w:bookmarkStart w:id="397" w:name="_Toc7997"/>
      <w:bookmarkStart w:id="398" w:name="_Toc21807"/>
      <w:bookmarkStart w:id="399" w:name="_Toc22134"/>
      <w:bookmarkStart w:id="400" w:name="_Toc615"/>
      <w:bookmarkStart w:id="401" w:name="_Toc25483"/>
      <w:bookmarkStart w:id="402" w:name="_Toc28903"/>
      <w:bookmarkStart w:id="403" w:name="_Toc23864"/>
    </w:p>
    <w:p w14:paraId="15011F32">
      <w:pPr>
        <w:shd w:val="clear" w:color="auto" w:fill="auto"/>
        <w:spacing w:line="360" w:lineRule="auto"/>
        <w:outlineLvl w:val="1"/>
        <w:rPr>
          <w:rFonts w:hint="eastAsia" w:hAnsi="宋体" w:cs="宋体"/>
          <w:b/>
          <w:bCs/>
          <w:color w:val="auto"/>
          <w:sz w:val="28"/>
          <w:szCs w:val="28"/>
          <w:highlight w:val="none"/>
        </w:rPr>
      </w:pPr>
      <w:r>
        <w:rPr>
          <w:rFonts w:hint="eastAsia" w:hAnsi="宋体" w:cs="宋体"/>
          <w:color w:val="auto"/>
          <w:sz w:val="24"/>
          <w:highlight w:val="none"/>
        </w:rPr>
        <w:br w:type="page"/>
      </w:r>
      <w:bookmarkStart w:id="404" w:name="_Toc21089"/>
      <w:bookmarkStart w:id="405" w:name="_Toc21119"/>
      <w:r>
        <w:rPr>
          <w:rFonts w:hint="eastAsia" w:hAnsi="宋体" w:cs="宋体"/>
          <w:b/>
          <w:bCs/>
          <w:color w:val="auto"/>
          <w:sz w:val="28"/>
          <w:szCs w:val="28"/>
          <w:highlight w:val="none"/>
        </w:rPr>
        <w:t>格式1-6  参加采购活动前三年内，在经营活动中没有重大违法记录的承诺函</w:t>
      </w:r>
      <w:bookmarkEnd w:id="391"/>
      <w:bookmarkEnd w:id="392"/>
      <w:bookmarkEnd w:id="393"/>
      <w:bookmarkEnd w:id="394"/>
      <w:bookmarkEnd w:id="395"/>
      <w:bookmarkEnd w:id="396"/>
      <w:bookmarkEnd w:id="397"/>
      <w:bookmarkEnd w:id="398"/>
      <w:bookmarkEnd w:id="399"/>
      <w:bookmarkEnd w:id="400"/>
      <w:bookmarkEnd w:id="401"/>
      <w:bookmarkEnd w:id="402"/>
      <w:bookmarkEnd w:id="404"/>
      <w:bookmarkEnd w:id="405"/>
    </w:p>
    <w:p w14:paraId="61390E0D">
      <w:pPr>
        <w:shd w:val="clear" w:color="auto" w:fill="auto"/>
        <w:spacing w:line="360" w:lineRule="auto"/>
        <w:rPr>
          <w:rFonts w:hint="eastAsia" w:hAnsi="宋体" w:cs="宋体"/>
          <w:color w:val="auto"/>
          <w:sz w:val="24"/>
          <w:highlight w:val="none"/>
          <w:u w:val="single"/>
        </w:rPr>
      </w:pPr>
    </w:p>
    <w:p w14:paraId="6D40C9EA">
      <w:pPr>
        <w:shd w:val="clear" w:color="auto" w:fill="auto"/>
        <w:spacing w:line="360" w:lineRule="auto"/>
        <w:rPr>
          <w:rFonts w:hint="eastAsia" w:hAnsi="宋体" w:cs="宋体"/>
          <w:b/>
          <w:bCs/>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（采购代理机构名称）：</w:t>
      </w:r>
    </w:p>
    <w:p w14:paraId="212C79D5">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我公司参加</w:t>
      </w:r>
      <w:r>
        <w:rPr>
          <w:rFonts w:hint="eastAsia" w:hAnsi="宋体" w:cs="宋体"/>
          <w:color w:val="auto"/>
          <w:sz w:val="24"/>
          <w:highlight w:val="none"/>
          <w:u w:val="single"/>
        </w:rPr>
        <w:t xml:space="preserve">              </w:t>
      </w:r>
      <w:r>
        <w:rPr>
          <w:rFonts w:hint="eastAsia" w:hAnsi="宋体" w:cs="宋体"/>
          <w:color w:val="auto"/>
          <w:sz w:val="24"/>
          <w:highlight w:val="none"/>
        </w:rPr>
        <w:t>（项目名称）（项目编号：</w:t>
      </w:r>
      <w:r>
        <w:rPr>
          <w:rFonts w:hint="eastAsia" w:hAnsi="宋体" w:cs="宋体"/>
          <w:color w:val="auto"/>
          <w:sz w:val="24"/>
          <w:highlight w:val="none"/>
          <w:u w:val="single"/>
        </w:rPr>
        <w:t xml:space="preserve">                  </w:t>
      </w:r>
      <w:r>
        <w:rPr>
          <w:rFonts w:hint="eastAsia" w:hAnsi="宋体" w:cs="宋体"/>
          <w:color w:val="auto"/>
          <w:sz w:val="24"/>
          <w:highlight w:val="none"/>
        </w:rPr>
        <w:t>）的磋商采购活动，现承诺我公司在参加采购活动前三年内，在经营活动中没有重大违法记录。我单位未因违法经营受到刑事处罚或者责令停产停业、吊销许可证或者执照、较大数额罚款等行政处罚，诚实守信，合法经营。</w:t>
      </w:r>
    </w:p>
    <w:p w14:paraId="3BE03495">
      <w:pPr>
        <w:pStyle w:val="13"/>
        <w:numPr>
          <w:ilvl w:val="0"/>
          <w:numId w:val="0"/>
        </w:numPr>
        <w:shd w:val="clear" w:color="auto" w:fill="auto"/>
        <w:rPr>
          <w:rFonts w:hint="eastAsia" w:ascii="宋体" w:hAnsi="宋体" w:eastAsia="宋体" w:cs="宋体"/>
          <w:color w:val="auto"/>
          <w:highlight w:val="none"/>
        </w:rPr>
      </w:pPr>
    </w:p>
    <w:p w14:paraId="68CAF6B4">
      <w:pPr>
        <w:shd w:val="clear" w:color="auto" w:fill="auto"/>
        <w:spacing w:line="360" w:lineRule="auto"/>
        <w:ind w:firstLine="480" w:firstLineChars="200"/>
        <w:outlineLvl w:val="9"/>
        <w:rPr>
          <w:rFonts w:hint="eastAsia" w:hAnsi="宋体" w:cs="宋体"/>
          <w:color w:val="auto"/>
          <w:sz w:val="24"/>
          <w:highlight w:val="none"/>
        </w:rPr>
      </w:pPr>
      <w:r>
        <w:rPr>
          <w:rFonts w:hint="eastAsia" w:hAnsi="宋体" w:cs="宋体"/>
          <w:color w:val="auto"/>
          <w:sz w:val="24"/>
          <w:highlight w:val="none"/>
        </w:rPr>
        <w:t>如违反以上承诺，本公司愿承担一切法律责任。</w:t>
      </w:r>
    </w:p>
    <w:p w14:paraId="325E7DAC">
      <w:pPr>
        <w:shd w:val="clear" w:color="auto" w:fill="auto"/>
        <w:spacing w:line="480" w:lineRule="auto"/>
        <w:ind w:firstLine="482" w:firstLineChars="200"/>
        <w:jc w:val="center"/>
        <w:outlineLvl w:val="9"/>
        <w:rPr>
          <w:rFonts w:hint="eastAsia" w:hAnsi="宋体" w:cs="宋体"/>
          <w:b/>
          <w:bCs/>
          <w:color w:val="auto"/>
          <w:sz w:val="24"/>
          <w:highlight w:val="none"/>
        </w:rPr>
      </w:pPr>
    </w:p>
    <w:p w14:paraId="63EBCE7E">
      <w:pPr>
        <w:shd w:val="clear" w:color="auto" w:fill="auto"/>
        <w:spacing w:line="480" w:lineRule="auto"/>
        <w:ind w:firstLine="482" w:firstLineChars="200"/>
        <w:jc w:val="center"/>
        <w:outlineLvl w:val="9"/>
        <w:rPr>
          <w:rFonts w:hint="eastAsia" w:hAnsi="宋体" w:cs="宋体"/>
          <w:b/>
          <w:bCs/>
          <w:color w:val="auto"/>
          <w:sz w:val="24"/>
          <w:highlight w:val="none"/>
        </w:rPr>
      </w:pPr>
    </w:p>
    <w:p w14:paraId="3240C740">
      <w:pPr>
        <w:pStyle w:val="13"/>
        <w:numPr>
          <w:ilvl w:val="0"/>
          <w:numId w:val="0"/>
        </w:numPr>
        <w:shd w:val="clear" w:color="auto" w:fill="auto"/>
        <w:outlineLvl w:val="9"/>
        <w:rPr>
          <w:rFonts w:hint="eastAsia" w:ascii="宋体" w:hAnsi="宋体" w:eastAsia="宋体" w:cs="宋体"/>
          <w:b/>
          <w:bCs/>
          <w:color w:val="auto"/>
          <w:sz w:val="24"/>
          <w:highlight w:val="none"/>
        </w:rPr>
      </w:pPr>
    </w:p>
    <w:p w14:paraId="3CE61C58">
      <w:pPr>
        <w:shd w:val="clear" w:color="auto" w:fill="auto"/>
        <w:adjustRightInd w:val="0"/>
        <w:spacing w:line="400" w:lineRule="exact"/>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15F3F0AA">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2034D3A0">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79825D2B">
      <w:pPr>
        <w:shd w:val="clear" w:color="auto" w:fill="auto"/>
        <w:spacing w:line="360" w:lineRule="auto"/>
        <w:outlineLvl w:val="9"/>
        <w:rPr>
          <w:rFonts w:hint="eastAsia" w:hAnsi="宋体" w:cs="宋体"/>
          <w:color w:val="auto"/>
          <w:sz w:val="24"/>
          <w:highlight w:val="none"/>
        </w:rPr>
      </w:pPr>
      <w:r>
        <w:rPr>
          <w:rFonts w:hint="eastAsia" w:hAnsi="宋体" w:cs="宋体"/>
          <w:color w:val="auto"/>
          <w:sz w:val="24"/>
          <w:highlight w:val="none"/>
        </w:rPr>
        <w:t xml:space="preserve"> </w:t>
      </w:r>
      <w:bookmarkStart w:id="406" w:name="_Toc16068"/>
      <w:bookmarkStart w:id="407" w:name="_Toc11014"/>
      <w:bookmarkStart w:id="408" w:name="_Toc26077"/>
      <w:bookmarkStart w:id="409" w:name="_Toc30785"/>
      <w:bookmarkStart w:id="410" w:name="_Toc12519"/>
      <w:bookmarkStart w:id="411" w:name="_Toc32394"/>
      <w:bookmarkStart w:id="412" w:name="_Toc8209"/>
      <w:bookmarkStart w:id="413" w:name="_Toc32434"/>
      <w:bookmarkStart w:id="414" w:name="_Toc10799"/>
      <w:bookmarkStart w:id="415" w:name="_Toc26778"/>
      <w:bookmarkStart w:id="416" w:name="_Toc17098"/>
      <w:bookmarkStart w:id="417" w:name="_Toc9909"/>
    </w:p>
    <w:p w14:paraId="4EE5D66F">
      <w:pPr>
        <w:shd w:val="clear" w:color="auto" w:fill="auto"/>
        <w:spacing w:line="360" w:lineRule="auto"/>
        <w:outlineLvl w:val="1"/>
        <w:rPr>
          <w:rFonts w:hint="eastAsia" w:hAnsi="宋体" w:cs="宋体"/>
          <w:b/>
          <w:bCs/>
          <w:color w:val="auto"/>
          <w:sz w:val="28"/>
          <w:szCs w:val="28"/>
          <w:highlight w:val="none"/>
        </w:rPr>
      </w:pPr>
      <w:r>
        <w:rPr>
          <w:rFonts w:hint="eastAsia" w:hAnsi="宋体" w:cs="宋体"/>
          <w:color w:val="auto"/>
          <w:sz w:val="24"/>
          <w:highlight w:val="none"/>
        </w:rPr>
        <w:br w:type="page"/>
      </w:r>
      <w:bookmarkStart w:id="418" w:name="_Toc29116"/>
      <w:bookmarkStart w:id="419" w:name="_Toc16771"/>
      <w:r>
        <w:rPr>
          <w:rFonts w:hint="eastAsia" w:hAnsi="宋体" w:cs="宋体"/>
          <w:b/>
          <w:bCs/>
          <w:color w:val="auto"/>
          <w:sz w:val="28"/>
          <w:szCs w:val="28"/>
          <w:highlight w:val="none"/>
        </w:rPr>
        <w:t>格式1-7  法律、行政法规规定的其他条件的承诺函</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24B9CFF">
      <w:pPr>
        <w:pStyle w:val="13"/>
        <w:numPr>
          <w:ilvl w:val="0"/>
          <w:numId w:val="0"/>
        </w:numPr>
        <w:shd w:val="clear" w:color="auto" w:fill="auto"/>
        <w:rPr>
          <w:rFonts w:hint="eastAsia" w:ascii="宋体" w:hAnsi="宋体" w:eastAsia="宋体" w:cs="宋体"/>
          <w:b/>
          <w:bCs/>
          <w:color w:val="auto"/>
          <w:sz w:val="24"/>
          <w:highlight w:val="none"/>
        </w:rPr>
      </w:pPr>
    </w:p>
    <w:p w14:paraId="338BBA00">
      <w:pPr>
        <w:shd w:val="clear" w:color="auto" w:fill="auto"/>
        <w:spacing w:line="360" w:lineRule="auto"/>
        <w:rPr>
          <w:rFonts w:hint="eastAsia" w:hAnsi="宋体" w:cs="宋体"/>
          <w:b/>
          <w:bCs/>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（采购代理机构名称）：</w:t>
      </w:r>
    </w:p>
    <w:p w14:paraId="579BE2AA">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我公司参加</w:t>
      </w:r>
      <w:r>
        <w:rPr>
          <w:rFonts w:hint="eastAsia" w:hAnsi="宋体" w:cs="宋体"/>
          <w:color w:val="auto"/>
          <w:sz w:val="24"/>
          <w:highlight w:val="none"/>
          <w:u w:val="single"/>
        </w:rPr>
        <w:t xml:space="preserve">              </w:t>
      </w:r>
      <w:r>
        <w:rPr>
          <w:rFonts w:hint="eastAsia" w:hAnsi="宋体" w:cs="宋体"/>
          <w:color w:val="auto"/>
          <w:sz w:val="24"/>
          <w:highlight w:val="none"/>
        </w:rPr>
        <w:t>（项目名称）（项目编号：</w:t>
      </w:r>
      <w:r>
        <w:rPr>
          <w:rFonts w:hint="eastAsia" w:hAnsi="宋体" w:cs="宋体"/>
          <w:color w:val="auto"/>
          <w:sz w:val="24"/>
          <w:highlight w:val="none"/>
          <w:u w:val="single"/>
        </w:rPr>
        <w:t xml:space="preserve">                  </w:t>
      </w:r>
      <w:r>
        <w:rPr>
          <w:rFonts w:hint="eastAsia" w:hAnsi="宋体" w:cs="宋体"/>
          <w:color w:val="auto"/>
          <w:sz w:val="24"/>
          <w:highlight w:val="none"/>
        </w:rPr>
        <w:t>）的磋商采购活动，现承诺我公司符合法律、行政法规规定的其他条件。</w:t>
      </w:r>
    </w:p>
    <w:p w14:paraId="208EB03C">
      <w:pPr>
        <w:pStyle w:val="13"/>
        <w:numPr>
          <w:ilvl w:val="0"/>
          <w:numId w:val="0"/>
        </w:numPr>
        <w:shd w:val="clear" w:color="auto" w:fill="auto"/>
        <w:rPr>
          <w:rFonts w:hint="eastAsia" w:ascii="宋体" w:hAnsi="宋体" w:eastAsia="宋体" w:cs="宋体"/>
          <w:color w:val="auto"/>
          <w:highlight w:val="none"/>
        </w:rPr>
      </w:pPr>
    </w:p>
    <w:p w14:paraId="720B3797">
      <w:pPr>
        <w:shd w:val="clear" w:color="auto" w:fill="auto"/>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如违反以上承诺，本公司愿承担一切法律责任。</w:t>
      </w:r>
    </w:p>
    <w:p w14:paraId="1DFBFC14">
      <w:pPr>
        <w:shd w:val="clear" w:color="auto" w:fill="auto"/>
        <w:spacing w:line="480" w:lineRule="auto"/>
        <w:ind w:firstLine="482" w:firstLineChars="200"/>
        <w:jc w:val="center"/>
        <w:outlineLvl w:val="9"/>
        <w:rPr>
          <w:rFonts w:hint="eastAsia" w:hAnsi="宋体" w:cs="宋体"/>
          <w:b/>
          <w:bCs/>
          <w:color w:val="auto"/>
          <w:sz w:val="24"/>
          <w:highlight w:val="none"/>
        </w:rPr>
      </w:pPr>
    </w:p>
    <w:p w14:paraId="62964AC8">
      <w:pPr>
        <w:shd w:val="clear" w:color="auto" w:fill="auto"/>
        <w:spacing w:line="480" w:lineRule="auto"/>
        <w:ind w:firstLine="482" w:firstLineChars="200"/>
        <w:jc w:val="center"/>
        <w:outlineLvl w:val="9"/>
        <w:rPr>
          <w:rFonts w:hint="eastAsia" w:hAnsi="宋体" w:cs="宋体"/>
          <w:b/>
          <w:bCs/>
          <w:color w:val="auto"/>
          <w:sz w:val="24"/>
          <w:highlight w:val="none"/>
        </w:rPr>
      </w:pPr>
    </w:p>
    <w:p w14:paraId="5697FE0A">
      <w:pPr>
        <w:pStyle w:val="13"/>
        <w:numPr>
          <w:ilvl w:val="0"/>
          <w:numId w:val="0"/>
        </w:numPr>
        <w:shd w:val="clear" w:color="auto" w:fill="auto"/>
        <w:outlineLvl w:val="9"/>
        <w:rPr>
          <w:rFonts w:hint="eastAsia" w:ascii="宋体" w:hAnsi="宋体" w:eastAsia="宋体" w:cs="宋体"/>
          <w:b/>
          <w:bCs/>
          <w:color w:val="auto"/>
          <w:sz w:val="24"/>
          <w:highlight w:val="none"/>
        </w:rPr>
      </w:pPr>
    </w:p>
    <w:p w14:paraId="1D86889A">
      <w:pPr>
        <w:shd w:val="clear" w:color="auto" w:fill="auto"/>
        <w:adjustRightInd w:val="0"/>
        <w:spacing w:line="400" w:lineRule="exact"/>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68F3FB0C">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797051B3">
      <w:pPr>
        <w:shd w:val="clear" w:color="auto" w:fill="auto"/>
        <w:adjustRightInd w:val="0"/>
        <w:spacing w:line="400" w:lineRule="exact"/>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754810D1">
      <w:pPr>
        <w:shd w:val="clear" w:color="auto" w:fill="auto"/>
        <w:spacing w:line="360" w:lineRule="auto"/>
        <w:outlineLvl w:val="9"/>
        <w:rPr>
          <w:rFonts w:hint="eastAsia" w:hAnsi="宋体" w:cs="宋体"/>
          <w:color w:val="auto"/>
          <w:sz w:val="24"/>
          <w:highlight w:val="none"/>
        </w:rPr>
      </w:pPr>
      <w:r>
        <w:rPr>
          <w:rFonts w:hint="eastAsia" w:hAnsi="宋体" w:cs="宋体"/>
          <w:color w:val="auto"/>
          <w:sz w:val="24"/>
          <w:highlight w:val="none"/>
        </w:rPr>
        <w:t xml:space="preserve"> </w:t>
      </w:r>
    </w:p>
    <w:p w14:paraId="3B03A879">
      <w:pPr>
        <w:shd w:val="clear" w:color="auto" w:fill="auto"/>
        <w:spacing w:line="360" w:lineRule="auto"/>
        <w:outlineLvl w:val="1"/>
        <w:rPr>
          <w:rFonts w:hint="eastAsia" w:hAnsi="宋体" w:cs="宋体"/>
          <w:b/>
          <w:bCs/>
          <w:color w:val="auto"/>
          <w:sz w:val="28"/>
          <w:szCs w:val="28"/>
          <w:highlight w:val="none"/>
        </w:rPr>
      </w:pPr>
      <w:bookmarkStart w:id="420" w:name="_Toc2531"/>
      <w:bookmarkStart w:id="421" w:name="_Toc6264"/>
      <w:bookmarkStart w:id="422" w:name="_Toc15647"/>
      <w:bookmarkStart w:id="423" w:name="_Toc17206"/>
      <w:bookmarkStart w:id="424" w:name="_Toc25377"/>
      <w:bookmarkStart w:id="425" w:name="_Toc4025"/>
      <w:bookmarkStart w:id="426" w:name="_Toc9549"/>
      <w:bookmarkStart w:id="427" w:name="_Toc24523"/>
      <w:bookmarkStart w:id="428" w:name="_Toc21285"/>
      <w:bookmarkStart w:id="429" w:name="_Toc15379"/>
      <w:bookmarkStart w:id="430" w:name="_Toc10065"/>
      <w:bookmarkStart w:id="431" w:name="_Toc8237"/>
      <w:r>
        <w:rPr>
          <w:rFonts w:hint="eastAsia" w:hAnsi="宋体" w:cs="宋体"/>
          <w:b/>
          <w:bCs/>
          <w:color w:val="auto"/>
          <w:sz w:val="28"/>
          <w:szCs w:val="28"/>
          <w:highlight w:val="none"/>
        </w:rPr>
        <w:br w:type="page"/>
      </w:r>
      <w:bookmarkEnd w:id="420"/>
      <w:bookmarkEnd w:id="421"/>
      <w:bookmarkEnd w:id="422"/>
      <w:bookmarkEnd w:id="423"/>
      <w:bookmarkEnd w:id="424"/>
      <w:bookmarkEnd w:id="425"/>
      <w:bookmarkEnd w:id="426"/>
      <w:bookmarkEnd w:id="427"/>
      <w:bookmarkEnd w:id="428"/>
      <w:bookmarkEnd w:id="429"/>
      <w:bookmarkEnd w:id="430"/>
      <w:bookmarkEnd w:id="431"/>
      <w:bookmarkStart w:id="432" w:name="_Toc5466"/>
      <w:bookmarkStart w:id="433" w:name="_Toc6990"/>
      <w:bookmarkStart w:id="434" w:name="_Toc27692"/>
      <w:bookmarkStart w:id="435" w:name="_Toc27849"/>
      <w:bookmarkStart w:id="436" w:name="_Toc15976"/>
      <w:bookmarkStart w:id="437" w:name="_Toc30073"/>
      <w:bookmarkStart w:id="438" w:name="_Toc9088"/>
      <w:bookmarkStart w:id="439" w:name="_Toc19936"/>
      <w:bookmarkStart w:id="440" w:name="_Toc9447"/>
      <w:bookmarkStart w:id="441" w:name="_Toc14763"/>
      <w:bookmarkStart w:id="442" w:name="_Toc14623"/>
      <w:bookmarkStart w:id="443" w:name="_Toc18257"/>
      <w:bookmarkStart w:id="444" w:name="_Toc92"/>
      <w:bookmarkStart w:id="445" w:name="_Toc3783"/>
      <w:bookmarkStart w:id="446" w:name="_Toc32149"/>
      <w:r>
        <w:rPr>
          <w:rFonts w:hint="eastAsia" w:hAnsi="宋体" w:cs="宋体"/>
          <w:b/>
          <w:bCs/>
          <w:color w:val="auto"/>
          <w:sz w:val="28"/>
          <w:szCs w:val="28"/>
          <w:highlight w:val="none"/>
        </w:rPr>
        <w:t>格式1-</w:t>
      </w:r>
      <w:bookmarkEnd w:id="432"/>
      <w:r>
        <w:rPr>
          <w:rFonts w:hint="eastAsia" w:hAnsi="宋体" w:cs="宋体"/>
          <w:b/>
          <w:bCs/>
          <w:color w:val="auto"/>
          <w:sz w:val="28"/>
          <w:szCs w:val="28"/>
          <w:highlight w:val="none"/>
          <w:lang w:val="en-US" w:eastAsia="zh-CN"/>
        </w:rPr>
        <w:t>8</w:t>
      </w:r>
      <w:r>
        <w:rPr>
          <w:rFonts w:hint="eastAsia" w:hAnsi="宋体" w:cs="宋体"/>
          <w:b/>
          <w:bCs/>
          <w:color w:val="auto"/>
          <w:sz w:val="28"/>
          <w:szCs w:val="28"/>
          <w:highlight w:val="none"/>
        </w:rPr>
        <w:t>应当提供的供应商资格、资质性及其他类似效力要求的相关证明材料</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2A035D1F">
      <w:pPr>
        <w:pStyle w:val="13"/>
        <w:numPr>
          <w:ilvl w:val="0"/>
          <w:numId w:val="0"/>
        </w:numPr>
        <w:shd w:val="clear" w:color="auto" w:fill="auto"/>
        <w:rPr>
          <w:rFonts w:hint="eastAsia" w:ascii="宋体" w:hAnsi="宋体" w:eastAsia="宋体" w:cs="宋体"/>
          <w:color w:val="auto"/>
          <w:highlight w:val="none"/>
        </w:rPr>
      </w:pPr>
    </w:p>
    <w:p w14:paraId="0B3B48F5">
      <w:pPr>
        <w:pStyle w:val="13"/>
        <w:numPr>
          <w:ilvl w:val="0"/>
          <w:numId w:val="0"/>
        </w:numPr>
        <w:shd w:val="clear" w:color="auto" w:fill="auto"/>
        <w:spacing w:before="1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注:供应商应严格按磋商文件第三、四章相关要求提供相关证明材料，有格式的可参照相关格式或自拟格式均有效，无格式要求的格式自拟。</w:t>
      </w:r>
    </w:p>
    <w:p w14:paraId="0B7ECB4C">
      <w:pPr>
        <w:shd w:val="clear" w:color="auto" w:fill="auto"/>
        <w:spacing w:line="480" w:lineRule="auto"/>
        <w:ind w:firstLine="562" w:firstLineChars="200"/>
        <w:jc w:val="center"/>
        <w:outlineLvl w:val="1"/>
        <w:rPr>
          <w:rFonts w:hint="eastAsia" w:hAnsi="宋体" w:cs="宋体"/>
          <w:color w:val="auto"/>
          <w:sz w:val="24"/>
          <w:highlight w:val="none"/>
        </w:rPr>
      </w:pPr>
      <w:bookmarkStart w:id="447" w:name="_Toc24631"/>
      <w:bookmarkStart w:id="448" w:name="_Toc8717"/>
      <w:bookmarkStart w:id="449" w:name="_Toc5598"/>
      <w:bookmarkStart w:id="450" w:name="_Toc6553"/>
      <w:bookmarkStart w:id="451" w:name="_Toc7156"/>
      <w:bookmarkStart w:id="452" w:name="_Toc14472"/>
      <w:bookmarkStart w:id="453" w:name="_Toc5604"/>
      <w:bookmarkStart w:id="454" w:name="_Toc31655"/>
      <w:bookmarkStart w:id="455" w:name="_Toc21865"/>
      <w:bookmarkStart w:id="456" w:name="_Toc14987"/>
      <w:bookmarkStart w:id="457" w:name="_Toc4770"/>
      <w:bookmarkStart w:id="458" w:name="_Toc14986"/>
      <w:r>
        <w:rPr>
          <w:rFonts w:hint="eastAsia" w:hAnsi="宋体" w:cs="宋体"/>
          <w:b/>
          <w:bCs/>
          <w:color w:val="auto"/>
          <w:sz w:val="28"/>
          <w:szCs w:val="28"/>
          <w:highlight w:val="none"/>
        </w:rPr>
        <w:br w:type="page"/>
      </w:r>
      <w:bookmarkStart w:id="459" w:name="_Toc2505"/>
      <w:bookmarkStart w:id="460" w:name="_Toc31266"/>
      <w:r>
        <w:rPr>
          <w:rFonts w:hint="eastAsia" w:hAnsi="宋体" w:cs="宋体"/>
          <w:b/>
          <w:bCs/>
          <w:color w:val="auto"/>
          <w:sz w:val="28"/>
          <w:szCs w:val="28"/>
          <w:highlight w:val="none"/>
        </w:rPr>
        <w:t>第二部分   《其他响应文件》格式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16B811B">
      <w:pPr>
        <w:shd w:val="clear" w:color="auto" w:fill="auto"/>
        <w:spacing w:line="480" w:lineRule="auto"/>
        <w:ind w:firstLine="562" w:firstLineChars="200"/>
        <w:outlineLvl w:val="1"/>
        <w:rPr>
          <w:rFonts w:hint="eastAsia" w:hAnsi="宋体" w:cs="宋体"/>
          <w:b/>
          <w:bCs/>
          <w:color w:val="auto"/>
          <w:sz w:val="24"/>
          <w:highlight w:val="none"/>
        </w:rPr>
      </w:pPr>
      <w:bookmarkStart w:id="461" w:name="_Toc11090"/>
      <w:bookmarkStart w:id="462" w:name="_Toc21233"/>
      <w:bookmarkStart w:id="463" w:name="_Toc14910"/>
      <w:bookmarkStart w:id="464" w:name="_Toc31892"/>
      <w:bookmarkStart w:id="465" w:name="_Toc29532"/>
      <w:bookmarkStart w:id="466" w:name="_Toc20289"/>
      <w:bookmarkStart w:id="467" w:name="_Toc20642"/>
      <w:bookmarkStart w:id="468" w:name="_Toc22749"/>
      <w:bookmarkStart w:id="469" w:name="_Toc26493"/>
      <w:bookmarkStart w:id="470" w:name="_Toc6015"/>
      <w:bookmarkStart w:id="471" w:name="_Toc30983"/>
      <w:bookmarkStart w:id="472" w:name="_Toc32382"/>
      <w:bookmarkStart w:id="473" w:name="_Toc20373"/>
      <w:bookmarkStart w:id="474" w:name="_Toc18457"/>
      <w:r>
        <w:rPr>
          <w:rFonts w:hint="eastAsia" w:hAnsi="宋体" w:cs="宋体"/>
          <w:b/>
          <w:bCs/>
          <w:color w:val="auto"/>
          <w:sz w:val="28"/>
          <w:szCs w:val="28"/>
          <w:highlight w:val="none"/>
        </w:rPr>
        <w:t>格式2-1</w:t>
      </w:r>
      <w:r>
        <w:rPr>
          <w:rFonts w:hint="eastAsia" w:hAnsi="宋体" w:cs="宋体"/>
          <w:b/>
          <w:bCs/>
          <w:color w:val="auto"/>
          <w:sz w:val="24"/>
          <w:highlight w:val="none"/>
        </w:rPr>
        <w:t xml:space="preserve">  封面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F8B2CAE">
      <w:pPr>
        <w:shd w:val="clear" w:color="auto" w:fill="auto"/>
        <w:spacing w:line="480" w:lineRule="auto"/>
        <w:ind w:firstLine="562" w:firstLineChars="200"/>
        <w:jc w:val="right"/>
        <w:rPr>
          <w:rFonts w:hint="eastAsia" w:hAnsi="宋体" w:cs="宋体"/>
          <w:b/>
          <w:bCs/>
          <w:color w:val="auto"/>
          <w:sz w:val="28"/>
          <w:szCs w:val="28"/>
          <w:highlight w:val="none"/>
        </w:rPr>
      </w:pPr>
      <w:r>
        <w:rPr>
          <w:rFonts w:hint="eastAsia" w:hAnsi="宋体" w:cs="宋体"/>
          <w:b/>
          <w:bCs/>
          <w:color w:val="auto"/>
          <w:sz w:val="28"/>
          <w:szCs w:val="28"/>
          <w:highlight w:val="none"/>
        </w:rPr>
        <w:t>（正本/副本）</w:t>
      </w:r>
    </w:p>
    <w:p w14:paraId="292DB03F">
      <w:pPr>
        <w:shd w:val="clear" w:color="auto" w:fill="auto"/>
        <w:spacing w:line="480" w:lineRule="auto"/>
        <w:ind w:firstLine="562" w:firstLineChars="200"/>
        <w:jc w:val="right"/>
        <w:rPr>
          <w:rFonts w:hint="eastAsia" w:hAnsi="宋体" w:cs="宋体"/>
          <w:b/>
          <w:bCs/>
          <w:color w:val="auto"/>
          <w:sz w:val="28"/>
          <w:szCs w:val="28"/>
          <w:highlight w:val="none"/>
        </w:rPr>
      </w:pPr>
    </w:p>
    <w:p w14:paraId="25628694">
      <w:pPr>
        <w:shd w:val="clear" w:color="auto" w:fill="auto"/>
        <w:spacing w:line="480" w:lineRule="auto"/>
        <w:ind w:firstLine="562" w:firstLineChars="200"/>
        <w:jc w:val="right"/>
        <w:rPr>
          <w:rFonts w:hint="eastAsia" w:hAnsi="宋体" w:cs="宋体"/>
          <w:b/>
          <w:bCs/>
          <w:color w:val="auto"/>
          <w:sz w:val="28"/>
          <w:szCs w:val="28"/>
          <w:highlight w:val="none"/>
        </w:rPr>
      </w:pPr>
    </w:p>
    <w:p w14:paraId="5E116888">
      <w:pPr>
        <w:shd w:val="clear" w:color="auto" w:fill="auto"/>
        <w:spacing w:line="480" w:lineRule="auto"/>
        <w:ind w:firstLine="723" w:firstLineChars="200"/>
        <w:jc w:val="center"/>
        <w:rPr>
          <w:rFonts w:hint="eastAsia" w:hAnsi="宋体" w:cs="宋体"/>
          <w:b/>
          <w:bCs/>
          <w:color w:val="auto"/>
          <w:sz w:val="36"/>
          <w:szCs w:val="36"/>
          <w:highlight w:val="none"/>
        </w:rPr>
      </w:pPr>
      <w:r>
        <w:rPr>
          <w:rFonts w:hint="eastAsia" w:hAnsi="宋体" w:cs="宋体"/>
          <w:b/>
          <w:bCs/>
          <w:color w:val="auto"/>
          <w:sz w:val="36"/>
          <w:szCs w:val="36"/>
          <w:highlight w:val="none"/>
          <w:u w:val="single"/>
        </w:rPr>
        <w:t xml:space="preserve">                      </w:t>
      </w:r>
      <w:r>
        <w:rPr>
          <w:rFonts w:hint="eastAsia" w:hAnsi="宋体" w:cs="宋体"/>
          <w:b/>
          <w:bCs/>
          <w:color w:val="auto"/>
          <w:sz w:val="36"/>
          <w:szCs w:val="36"/>
          <w:highlight w:val="none"/>
          <w:u w:val="single"/>
        </w:rPr>
        <w:tab/>
      </w:r>
      <w:r>
        <w:rPr>
          <w:rFonts w:hint="eastAsia" w:hAnsi="宋体" w:cs="宋体"/>
          <w:b/>
          <w:bCs/>
          <w:color w:val="auto"/>
          <w:sz w:val="36"/>
          <w:szCs w:val="36"/>
          <w:highlight w:val="none"/>
        </w:rPr>
        <w:t>项目</w:t>
      </w:r>
    </w:p>
    <w:p w14:paraId="6683EF29">
      <w:pPr>
        <w:shd w:val="clear" w:color="auto" w:fill="auto"/>
        <w:spacing w:line="480" w:lineRule="auto"/>
        <w:jc w:val="center"/>
        <w:rPr>
          <w:rFonts w:hint="eastAsia" w:hAnsi="宋体" w:cs="宋体"/>
          <w:b/>
          <w:bCs/>
          <w:color w:val="auto"/>
          <w:sz w:val="44"/>
          <w:szCs w:val="44"/>
          <w:highlight w:val="none"/>
        </w:rPr>
      </w:pPr>
    </w:p>
    <w:p w14:paraId="6D4BA844">
      <w:pPr>
        <w:shd w:val="clear" w:color="auto" w:fill="auto"/>
        <w:spacing w:line="480" w:lineRule="auto"/>
        <w:ind w:firstLine="883" w:firstLineChars="200"/>
        <w:jc w:val="center"/>
        <w:rPr>
          <w:rFonts w:hint="eastAsia" w:hAnsi="宋体" w:cs="宋体"/>
          <w:b/>
          <w:bCs/>
          <w:color w:val="auto"/>
          <w:sz w:val="44"/>
          <w:szCs w:val="44"/>
          <w:highlight w:val="none"/>
        </w:rPr>
      </w:pPr>
      <w:r>
        <w:rPr>
          <w:rFonts w:hint="eastAsia" w:hAnsi="宋体" w:cs="宋体"/>
          <w:b/>
          <w:bCs/>
          <w:color w:val="auto"/>
          <w:sz w:val="44"/>
          <w:szCs w:val="44"/>
          <w:highlight w:val="none"/>
        </w:rPr>
        <w:t>其他响应文件</w:t>
      </w:r>
    </w:p>
    <w:p w14:paraId="218CD590">
      <w:pPr>
        <w:shd w:val="clear" w:color="auto" w:fill="auto"/>
        <w:spacing w:line="480" w:lineRule="auto"/>
        <w:ind w:firstLine="643" w:firstLineChars="200"/>
        <w:jc w:val="center"/>
        <w:rPr>
          <w:rFonts w:hint="eastAsia" w:hAnsi="宋体" w:cs="宋体"/>
          <w:b/>
          <w:bCs/>
          <w:color w:val="auto"/>
          <w:sz w:val="32"/>
          <w:szCs w:val="32"/>
          <w:highlight w:val="none"/>
        </w:rPr>
      </w:pPr>
    </w:p>
    <w:p w14:paraId="15DE9F17">
      <w:pPr>
        <w:shd w:val="clear" w:color="auto" w:fill="auto"/>
        <w:spacing w:line="480" w:lineRule="auto"/>
        <w:ind w:firstLine="643" w:firstLineChars="200"/>
        <w:jc w:val="center"/>
        <w:rPr>
          <w:rFonts w:hint="eastAsia" w:hAnsi="宋体" w:cs="宋体"/>
          <w:b/>
          <w:bCs/>
          <w:color w:val="auto"/>
          <w:sz w:val="32"/>
          <w:szCs w:val="32"/>
          <w:highlight w:val="none"/>
        </w:rPr>
      </w:pPr>
    </w:p>
    <w:p w14:paraId="5EE71776">
      <w:pPr>
        <w:pStyle w:val="13"/>
        <w:numPr>
          <w:ilvl w:val="0"/>
          <w:numId w:val="0"/>
        </w:numPr>
        <w:shd w:val="clear" w:color="auto" w:fill="auto"/>
        <w:rPr>
          <w:rFonts w:hint="eastAsia" w:ascii="宋体" w:hAnsi="宋体" w:eastAsia="宋体" w:cs="宋体"/>
          <w:color w:val="auto"/>
          <w:highlight w:val="none"/>
        </w:rPr>
      </w:pPr>
    </w:p>
    <w:p w14:paraId="66978E87">
      <w:pPr>
        <w:shd w:val="clear" w:color="auto" w:fill="auto"/>
        <w:spacing w:line="480" w:lineRule="auto"/>
        <w:ind w:firstLine="643" w:firstLineChars="200"/>
        <w:rPr>
          <w:rFonts w:hint="eastAsia" w:hAnsi="宋体" w:cs="宋体"/>
          <w:b/>
          <w:bCs/>
          <w:color w:val="auto"/>
          <w:sz w:val="32"/>
          <w:szCs w:val="32"/>
          <w:highlight w:val="none"/>
          <w:u w:val="single"/>
        </w:rPr>
      </w:pPr>
      <w:r>
        <w:rPr>
          <w:rFonts w:hint="eastAsia" w:hAnsi="宋体" w:cs="宋体"/>
          <w:b/>
          <w:bCs/>
          <w:color w:val="auto"/>
          <w:sz w:val="32"/>
          <w:szCs w:val="32"/>
          <w:highlight w:val="none"/>
        </w:rPr>
        <w:t>供应商名称：</w:t>
      </w:r>
      <w:r>
        <w:rPr>
          <w:rFonts w:hint="eastAsia" w:hAnsi="宋体" w:cs="宋体"/>
          <w:b/>
          <w:bCs/>
          <w:color w:val="auto"/>
          <w:sz w:val="32"/>
          <w:szCs w:val="32"/>
          <w:highlight w:val="none"/>
          <w:u w:val="single"/>
        </w:rPr>
        <w:t xml:space="preserve">                          </w:t>
      </w:r>
    </w:p>
    <w:p w14:paraId="33DD3004">
      <w:pPr>
        <w:shd w:val="clear" w:color="auto" w:fill="auto"/>
        <w:spacing w:line="480" w:lineRule="auto"/>
        <w:ind w:firstLine="643" w:firstLineChars="200"/>
        <w:rPr>
          <w:rFonts w:hint="eastAsia" w:hAnsi="宋体" w:cs="宋体"/>
          <w:b/>
          <w:bCs/>
          <w:color w:val="auto"/>
          <w:sz w:val="32"/>
          <w:szCs w:val="32"/>
          <w:highlight w:val="none"/>
        </w:rPr>
      </w:pPr>
      <w:r>
        <w:rPr>
          <w:rFonts w:hint="eastAsia" w:hAnsi="宋体" w:cs="宋体"/>
          <w:b/>
          <w:bCs/>
          <w:color w:val="auto"/>
          <w:sz w:val="32"/>
          <w:szCs w:val="32"/>
          <w:highlight w:val="none"/>
        </w:rPr>
        <w:t>项 目 编号：</w:t>
      </w:r>
      <w:r>
        <w:rPr>
          <w:rFonts w:hint="eastAsia" w:hAnsi="宋体" w:cs="宋体"/>
          <w:b/>
          <w:bCs/>
          <w:color w:val="auto"/>
          <w:sz w:val="32"/>
          <w:szCs w:val="32"/>
          <w:highlight w:val="none"/>
          <w:u w:val="single"/>
        </w:rPr>
        <w:t xml:space="preserve">                          </w:t>
      </w:r>
    </w:p>
    <w:p w14:paraId="64ACD095">
      <w:pPr>
        <w:shd w:val="clear" w:color="auto" w:fill="auto"/>
        <w:spacing w:line="480" w:lineRule="auto"/>
        <w:ind w:firstLine="643" w:firstLineChars="200"/>
        <w:rPr>
          <w:rFonts w:hint="eastAsia" w:hAnsi="宋体" w:cs="宋体"/>
          <w:b/>
          <w:bCs/>
          <w:color w:val="auto"/>
          <w:sz w:val="32"/>
          <w:szCs w:val="32"/>
          <w:highlight w:val="none"/>
        </w:rPr>
      </w:pPr>
    </w:p>
    <w:p w14:paraId="558C172C">
      <w:pPr>
        <w:shd w:val="clear" w:color="auto" w:fill="auto"/>
        <w:spacing w:line="480" w:lineRule="auto"/>
        <w:ind w:firstLine="643" w:firstLineChars="200"/>
        <w:rPr>
          <w:rFonts w:hint="eastAsia" w:hAnsi="宋体" w:cs="宋体"/>
          <w:b/>
          <w:bCs/>
          <w:color w:val="auto"/>
          <w:sz w:val="32"/>
          <w:szCs w:val="32"/>
          <w:highlight w:val="none"/>
        </w:rPr>
      </w:pPr>
    </w:p>
    <w:p w14:paraId="69555B23">
      <w:pPr>
        <w:shd w:val="clear" w:color="auto" w:fill="auto"/>
        <w:spacing w:line="480" w:lineRule="auto"/>
        <w:ind w:firstLine="643" w:firstLineChars="200"/>
        <w:jc w:val="right"/>
        <w:rPr>
          <w:rFonts w:hint="eastAsia" w:hAnsi="宋体" w:cs="宋体"/>
          <w:b/>
          <w:bCs/>
          <w:color w:val="auto"/>
          <w:sz w:val="32"/>
          <w:szCs w:val="32"/>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14:paraId="33F827FA">
      <w:pPr>
        <w:shd w:val="clear" w:color="auto" w:fill="auto"/>
        <w:spacing w:line="480" w:lineRule="auto"/>
        <w:outlineLvl w:val="1"/>
        <w:rPr>
          <w:rFonts w:hint="eastAsia" w:hAnsi="宋体" w:cs="宋体"/>
          <w:b/>
          <w:bCs/>
          <w:color w:val="auto"/>
          <w:sz w:val="28"/>
          <w:szCs w:val="28"/>
          <w:highlight w:val="none"/>
        </w:rPr>
      </w:pPr>
      <w:bookmarkStart w:id="475" w:name="_Toc12615"/>
      <w:bookmarkStart w:id="476" w:name="_Toc3220"/>
      <w:bookmarkStart w:id="477" w:name="_Toc9407"/>
      <w:bookmarkStart w:id="478" w:name="_Toc29125"/>
      <w:r>
        <w:rPr>
          <w:rFonts w:hint="eastAsia" w:hAnsi="宋体" w:cs="宋体"/>
          <w:b/>
          <w:bCs/>
          <w:color w:val="auto"/>
          <w:sz w:val="28"/>
          <w:szCs w:val="28"/>
          <w:highlight w:val="none"/>
        </w:rPr>
        <w:br w:type="page"/>
      </w:r>
      <w:bookmarkStart w:id="479" w:name="_Toc24545"/>
      <w:bookmarkStart w:id="480" w:name="_Toc3756"/>
      <w:bookmarkStart w:id="481" w:name="_Toc21059"/>
      <w:bookmarkStart w:id="482" w:name="_Toc2477"/>
      <w:bookmarkStart w:id="483" w:name="_Toc2230"/>
      <w:bookmarkStart w:id="484" w:name="_Toc31646"/>
      <w:bookmarkStart w:id="485" w:name="_Toc25905"/>
      <w:bookmarkStart w:id="486" w:name="_Toc8187"/>
      <w:bookmarkStart w:id="487" w:name="_Toc28606"/>
      <w:bookmarkStart w:id="488" w:name="_Toc18998"/>
      <w:r>
        <w:rPr>
          <w:rFonts w:hint="eastAsia" w:hAnsi="宋体" w:cs="宋体"/>
          <w:b/>
          <w:bCs/>
          <w:color w:val="auto"/>
          <w:sz w:val="28"/>
          <w:szCs w:val="28"/>
          <w:highlight w:val="none"/>
        </w:rPr>
        <w:t>格式2-2  响应函</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5BECE164">
      <w:pPr>
        <w:shd w:val="clear" w:color="auto" w:fill="auto"/>
        <w:outlineLvl w:val="9"/>
        <w:rPr>
          <w:rFonts w:hint="eastAsia" w:hAnsi="宋体" w:cs="宋体"/>
          <w:b/>
          <w:bCs/>
          <w:color w:val="auto"/>
          <w:sz w:val="32"/>
          <w:szCs w:val="32"/>
          <w:highlight w:val="none"/>
        </w:rPr>
      </w:pPr>
    </w:p>
    <w:p w14:paraId="0AE96C3F">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u w:val="single"/>
          <w:lang w:eastAsia="zh-CN"/>
        </w:rPr>
        <w:t>资中县中医医院</w:t>
      </w:r>
      <w:r>
        <w:rPr>
          <w:rFonts w:hint="eastAsia" w:hAnsi="宋体" w:cs="宋体"/>
          <w:color w:val="auto"/>
          <w:sz w:val="24"/>
          <w:highlight w:val="none"/>
        </w:rPr>
        <w:t>（采购代理机构名称）：</w:t>
      </w:r>
    </w:p>
    <w:p w14:paraId="2C9EF476">
      <w:pPr>
        <w:numPr>
          <w:ilvl w:val="0"/>
          <w:numId w:val="5"/>
        </w:numPr>
        <w:shd w:val="clear" w:color="auto" w:fill="auto"/>
        <w:wordWrap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我方全面研究了“</w:t>
      </w:r>
      <w:r>
        <w:rPr>
          <w:rFonts w:hint="eastAsia" w:hAnsi="宋体" w:cs="宋体"/>
          <w:color w:val="auto"/>
          <w:sz w:val="24"/>
          <w:highlight w:val="none"/>
          <w:u w:val="single"/>
        </w:rPr>
        <w:t xml:space="preserve">                </w:t>
      </w:r>
      <w:r>
        <w:rPr>
          <w:rFonts w:hint="eastAsia" w:hAnsi="宋体" w:cs="宋体"/>
          <w:color w:val="auto"/>
          <w:sz w:val="24"/>
          <w:highlight w:val="none"/>
        </w:rPr>
        <w:t>”项目磋商文件（项目编号：</w:t>
      </w:r>
      <w:r>
        <w:rPr>
          <w:rFonts w:hint="eastAsia" w:hAnsi="宋体" w:cs="宋体"/>
          <w:color w:val="auto"/>
          <w:sz w:val="24"/>
          <w:highlight w:val="none"/>
          <w:u w:val="single"/>
        </w:rPr>
        <w:t xml:space="preserve">                     </w:t>
      </w:r>
      <w:r>
        <w:rPr>
          <w:rFonts w:hint="eastAsia" w:hAnsi="宋体" w:cs="宋体"/>
          <w:color w:val="auto"/>
          <w:sz w:val="24"/>
          <w:highlight w:val="none"/>
        </w:rPr>
        <w:t>），决定参加贵单位组织的本项目磋商采购。</w:t>
      </w:r>
    </w:p>
    <w:p w14:paraId="3CF17255">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2.一旦我方成交，我方将严格履行采购合同规定的责任和义务。</w:t>
      </w:r>
    </w:p>
    <w:p w14:paraId="622F836F">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3.我方为本项目提交的响应文件正本1份，副本2份，用于磋商报价。</w:t>
      </w:r>
    </w:p>
    <w:p w14:paraId="099DA076">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4.我方愿意提供贵单位可能另外要求的，与磋商报价有关的文件资料，并保证我方已提供和将要提供的文件资料是真实、准确的。</w:t>
      </w:r>
    </w:p>
    <w:p w14:paraId="60CB1706">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5.本次磋商，我方递交的响应文件有效期为递交磋商响应文件截止之日起</w:t>
      </w:r>
      <w:r>
        <w:rPr>
          <w:rFonts w:hint="eastAsia" w:hAnsi="宋体" w:cs="宋体"/>
          <w:color w:val="auto"/>
          <w:sz w:val="24"/>
          <w:highlight w:val="none"/>
          <w:u w:val="single"/>
        </w:rPr>
        <w:t>60</w:t>
      </w:r>
      <w:r>
        <w:rPr>
          <w:rFonts w:hint="eastAsia" w:hAnsi="宋体" w:cs="宋体"/>
          <w:color w:val="auto"/>
          <w:sz w:val="24"/>
          <w:highlight w:val="none"/>
        </w:rPr>
        <w:t>天。</w:t>
      </w:r>
    </w:p>
    <w:p w14:paraId="115BE999">
      <w:pPr>
        <w:shd w:val="clear" w:color="auto" w:fill="auto"/>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6.如果我方成交，我方完全同意按照磋商文件“供应商须知附表”中的规定，支付本项目的招标代理服务费。</w:t>
      </w:r>
    </w:p>
    <w:p w14:paraId="45E55D18">
      <w:pPr>
        <w:shd w:val="clear" w:color="auto" w:fill="auto"/>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7、我方完全理解采购人不一定将合同授予最低报价的供应商的行为。</w:t>
      </w:r>
    </w:p>
    <w:p w14:paraId="340960B9">
      <w:pPr>
        <w:shd w:val="clear" w:color="auto" w:fill="auto"/>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8、我方已详细审查全部磋商文件，包括修改文件（如有）以及全部参考资料和有关附件。我方已完全理解并同意放弃对此有不清楚、误解以及对磋商文件内容质疑的权利。</w:t>
      </w:r>
    </w:p>
    <w:p w14:paraId="317CCE24">
      <w:pPr>
        <w:shd w:val="clear" w:color="auto" w:fill="auto"/>
        <w:adjustRightInd w:val="0"/>
        <w:spacing w:line="400" w:lineRule="exact"/>
        <w:ind w:firstLine="480" w:firstLineChars="200"/>
        <w:jc w:val="left"/>
        <w:rPr>
          <w:rFonts w:hint="eastAsia" w:hAnsi="宋体" w:cs="宋体"/>
          <w:color w:val="auto"/>
          <w:sz w:val="24"/>
          <w:highlight w:val="none"/>
        </w:rPr>
      </w:pPr>
    </w:p>
    <w:p w14:paraId="693C5A6B">
      <w:pPr>
        <w:shd w:val="clear" w:color="auto" w:fill="auto"/>
        <w:adjustRightInd w:val="0"/>
        <w:spacing w:line="400" w:lineRule="exact"/>
        <w:ind w:firstLine="480" w:firstLineChars="200"/>
        <w:jc w:val="left"/>
        <w:rPr>
          <w:rFonts w:hint="eastAsia" w:hAnsi="宋体" w:cs="宋体"/>
          <w:color w:val="auto"/>
          <w:sz w:val="24"/>
          <w:highlight w:val="none"/>
        </w:rPr>
      </w:pPr>
    </w:p>
    <w:p w14:paraId="16D78647">
      <w:pPr>
        <w:shd w:val="clear" w:color="auto" w:fill="auto"/>
        <w:adjustRightInd w:val="0"/>
        <w:spacing w:line="400" w:lineRule="exact"/>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5BCCAB79">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法定代表人或授权代表（签字或盖章）： </w:t>
      </w:r>
    </w:p>
    <w:p w14:paraId="11321D3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通讯地址： </w:t>
      </w:r>
    </w:p>
    <w:p w14:paraId="77116F7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邮政编码： </w:t>
      </w:r>
    </w:p>
    <w:p w14:paraId="4006D48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联系电话： </w:t>
      </w:r>
    </w:p>
    <w:p w14:paraId="664E85B3">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日    期：  年 月 日</w:t>
      </w:r>
    </w:p>
    <w:p w14:paraId="6669C085">
      <w:pPr>
        <w:shd w:val="clear" w:color="auto" w:fill="auto"/>
        <w:outlineLvl w:val="1"/>
        <w:rPr>
          <w:rFonts w:hint="eastAsia" w:hAnsi="宋体" w:cs="宋体"/>
          <w:b/>
          <w:bCs/>
          <w:color w:val="auto"/>
          <w:sz w:val="28"/>
          <w:szCs w:val="28"/>
          <w:highlight w:val="none"/>
        </w:rPr>
      </w:pPr>
      <w:bookmarkStart w:id="489" w:name="_Toc32158"/>
      <w:bookmarkStart w:id="490" w:name="_Toc29053"/>
      <w:bookmarkStart w:id="491" w:name="_Toc31254"/>
      <w:bookmarkStart w:id="492" w:name="_Toc32053"/>
      <w:bookmarkStart w:id="493" w:name="_Toc24283"/>
      <w:bookmarkStart w:id="494" w:name="_Toc18205"/>
      <w:bookmarkStart w:id="495" w:name="_Toc402"/>
      <w:bookmarkStart w:id="496" w:name="_Toc28284"/>
      <w:bookmarkStart w:id="497" w:name="_Toc3527"/>
      <w:bookmarkStart w:id="498" w:name="_Toc29121"/>
      <w:bookmarkStart w:id="499" w:name="_Toc543"/>
      <w:bookmarkStart w:id="500" w:name="_Toc15722"/>
      <w:r>
        <w:rPr>
          <w:rFonts w:hint="eastAsia" w:hAnsi="宋体" w:cs="宋体"/>
          <w:b/>
          <w:bCs/>
          <w:color w:val="auto"/>
          <w:sz w:val="28"/>
          <w:szCs w:val="28"/>
          <w:highlight w:val="none"/>
        </w:rPr>
        <w:br w:type="page"/>
      </w:r>
      <w:bookmarkStart w:id="501" w:name="_Toc27200"/>
      <w:bookmarkStart w:id="502" w:name="_Toc25859"/>
      <w:r>
        <w:rPr>
          <w:rFonts w:hint="eastAsia" w:hAnsi="宋体" w:cs="宋体"/>
          <w:b/>
          <w:bCs/>
          <w:color w:val="auto"/>
          <w:sz w:val="28"/>
          <w:szCs w:val="28"/>
          <w:highlight w:val="none"/>
        </w:rPr>
        <w:t>格式2-3  首轮报价表</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46CF84D">
      <w:pPr>
        <w:pStyle w:val="13"/>
        <w:numPr>
          <w:ilvl w:val="0"/>
          <w:numId w:val="0"/>
        </w:numPr>
        <w:shd w:val="clear" w:color="auto" w:fill="auto"/>
        <w:rPr>
          <w:rFonts w:hint="eastAsia" w:ascii="宋体" w:hAnsi="宋体" w:eastAsia="宋体" w:cs="宋体"/>
          <w:color w:val="auto"/>
          <w:highlight w:val="none"/>
        </w:rPr>
      </w:pPr>
    </w:p>
    <w:p w14:paraId="74B7E0E6">
      <w:pPr>
        <w:shd w:val="clear" w:color="auto" w:fill="auto"/>
        <w:jc w:val="center"/>
        <w:outlineLvl w:val="9"/>
        <w:rPr>
          <w:rFonts w:hint="eastAsia" w:hAnsi="宋体" w:cs="宋体"/>
          <w:b/>
          <w:bCs/>
          <w:color w:val="auto"/>
          <w:sz w:val="32"/>
          <w:szCs w:val="32"/>
          <w:highlight w:val="none"/>
        </w:rPr>
      </w:pPr>
    </w:p>
    <w:tbl>
      <w:tblPr>
        <w:tblStyle w:val="28"/>
        <w:tblpPr w:leftFromText="180" w:rightFromText="180" w:vertAnchor="text" w:horzAnchor="page" w:tblpX="1766" w:tblpY="226"/>
        <w:tblOverlap w:val="never"/>
        <w:tblW w:w="46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921"/>
      </w:tblGrid>
      <w:tr w14:paraId="7E73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3" w:hRule="atLeast"/>
        </w:trPr>
        <w:tc>
          <w:tcPr>
            <w:tcW w:w="903" w:type="pct"/>
            <w:noWrap w:val="0"/>
            <w:vAlign w:val="center"/>
          </w:tcPr>
          <w:p w14:paraId="122C28A8">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项目名称</w:t>
            </w:r>
          </w:p>
        </w:tc>
        <w:tc>
          <w:tcPr>
            <w:tcW w:w="4096" w:type="pct"/>
            <w:noWrap w:val="0"/>
            <w:vAlign w:val="center"/>
          </w:tcPr>
          <w:p w14:paraId="61E94B34">
            <w:pPr>
              <w:keepNext w:val="0"/>
              <w:keepLines w:val="0"/>
              <w:suppressLineNumbers w:val="0"/>
              <w:shd w:val="clear" w:color="auto" w:fill="auto"/>
              <w:spacing w:before="0" w:beforeAutospacing="0" w:after="0" w:afterAutospacing="0" w:line="360" w:lineRule="auto"/>
              <w:ind w:left="355" w:right="0" w:hanging="355" w:hangingChars="148"/>
              <w:jc w:val="center"/>
              <w:outlineLvl w:val="9"/>
              <w:rPr>
                <w:rFonts w:hint="eastAsia" w:hAnsi="宋体" w:cs="宋体"/>
                <w:color w:val="auto"/>
                <w:sz w:val="24"/>
                <w:szCs w:val="20"/>
                <w:highlight w:val="none"/>
              </w:rPr>
            </w:pPr>
          </w:p>
        </w:tc>
      </w:tr>
      <w:tr w14:paraId="6EC8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3" w:type="pct"/>
            <w:noWrap w:val="0"/>
            <w:vAlign w:val="center"/>
          </w:tcPr>
          <w:p w14:paraId="0E51A734">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项目编号</w:t>
            </w:r>
          </w:p>
        </w:tc>
        <w:tc>
          <w:tcPr>
            <w:tcW w:w="4096" w:type="pct"/>
            <w:noWrap w:val="0"/>
            <w:vAlign w:val="top"/>
          </w:tcPr>
          <w:p w14:paraId="4B3535A7">
            <w:pPr>
              <w:keepNext w:val="0"/>
              <w:keepLines w:val="0"/>
              <w:suppressLineNumbers w:val="0"/>
              <w:shd w:val="clear" w:color="auto" w:fill="auto"/>
              <w:spacing w:before="0" w:beforeAutospacing="0" w:after="0" w:afterAutospacing="0" w:line="360" w:lineRule="auto"/>
              <w:ind w:left="0" w:right="0"/>
              <w:outlineLvl w:val="9"/>
              <w:rPr>
                <w:rFonts w:hint="eastAsia" w:hAnsi="宋体" w:cs="宋体"/>
                <w:color w:val="auto"/>
                <w:sz w:val="24"/>
                <w:szCs w:val="20"/>
                <w:highlight w:val="none"/>
              </w:rPr>
            </w:pPr>
          </w:p>
        </w:tc>
      </w:tr>
      <w:tr w14:paraId="3ED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03" w:type="pct"/>
            <w:noWrap w:val="0"/>
            <w:vAlign w:val="center"/>
          </w:tcPr>
          <w:p w14:paraId="4667EBCF">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服务名称</w:t>
            </w:r>
          </w:p>
        </w:tc>
        <w:tc>
          <w:tcPr>
            <w:tcW w:w="4096" w:type="pct"/>
            <w:noWrap w:val="0"/>
            <w:vAlign w:val="center"/>
          </w:tcPr>
          <w:p w14:paraId="061E7322">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eastAsia="宋体" w:cs="宋体"/>
                <w:color w:val="auto"/>
                <w:sz w:val="24"/>
                <w:szCs w:val="20"/>
                <w:highlight w:val="none"/>
                <w:lang w:eastAsia="zh-CN"/>
              </w:rPr>
            </w:pPr>
            <w:r>
              <w:rPr>
                <w:rFonts w:hint="eastAsia" w:hAnsi="宋体" w:cs="宋体"/>
                <w:color w:val="auto"/>
                <w:sz w:val="24"/>
                <w:szCs w:val="20"/>
                <w:highlight w:val="none"/>
                <w:lang w:eastAsia="zh-CN"/>
              </w:rPr>
              <w:t>部分挂网耗材配送项目</w:t>
            </w:r>
          </w:p>
          <w:p w14:paraId="5FA39B14">
            <w:pPr>
              <w:keepNext w:val="0"/>
              <w:keepLines w:val="0"/>
              <w:suppressLineNumbers w:val="0"/>
              <w:shd w:val="clear" w:color="auto" w:fill="auto"/>
              <w:spacing w:before="0" w:beforeAutospacing="0" w:after="0" w:afterAutospacing="0" w:line="360" w:lineRule="auto"/>
              <w:ind w:left="0" w:right="0"/>
              <w:jc w:val="center"/>
              <w:outlineLvl w:val="9"/>
              <w:rPr>
                <w:rFonts w:hint="eastAsia" w:hAnsi="宋体" w:cs="宋体"/>
                <w:color w:val="auto"/>
                <w:sz w:val="24"/>
                <w:szCs w:val="20"/>
                <w:highlight w:val="none"/>
              </w:rPr>
            </w:pPr>
            <w:r>
              <w:rPr>
                <w:rFonts w:hint="eastAsia" w:hAnsi="宋体" w:cs="宋体"/>
                <w:color w:val="auto"/>
                <w:sz w:val="24"/>
                <w:szCs w:val="20"/>
                <w:highlight w:val="none"/>
              </w:rPr>
              <w:t>（清单所有耗材单价合计）</w:t>
            </w:r>
          </w:p>
        </w:tc>
      </w:tr>
      <w:tr w14:paraId="333C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25" w:type="dxa"/>
            <w:noWrap w:val="0"/>
            <w:vAlign w:val="center"/>
          </w:tcPr>
          <w:p w14:paraId="70226E3C">
            <w:pPr>
              <w:keepNext w:val="0"/>
              <w:keepLines w:val="0"/>
              <w:suppressLineNumbers w:val="0"/>
              <w:spacing w:before="0" w:beforeAutospacing="0" w:after="0" w:afterAutospacing="0"/>
              <w:ind w:left="0" w:right="0"/>
              <w:jc w:val="left"/>
              <w:rPr>
                <w:rFonts w:hint="eastAsia" w:hAnsi="宋体" w:cs="宋体"/>
                <w:b/>
                <w:bCs/>
                <w:sz w:val="24"/>
                <w:szCs w:val="20"/>
              </w:rPr>
            </w:pPr>
          </w:p>
          <w:p w14:paraId="21AFFC4E">
            <w:pPr>
              <w:keepNext w:val="0"/>
              <w:keepLines w:val="0"/>
              <w:suppressLineNumbers w:val="0"/>
              <w:spacing w:before="0" w:beforeAutospacing="0" w:after="0" w:afterAutospacing="0"/>
              <w:ind w:left="0" w:right="0"/>
              <w:jc w:val="center"/>
              <w:rPr>
                <w:rFonts w:hint="eastAsia" w:hAnsi="宋体" w:cs="宋体"/>
                <w:b/>
                <w:bCs/>
                <w:sz w:val="24"/>
                <w:szCs w:val="20"/>
              </w:rPr>
            </w:pPr>
            <w:r>
              <w:rPr>
                <w:rFonts w:hint="eastAsia" w:hAnsi="宋体" w:cs="宋体"/>
                <w:b/>
                <w:bCs/>
                <w:sz w:val="24"/>
                <w:szCs w:val="20"/>
              </w:rPr>
              <w:t>报价</w:t>
            </w:r>
          </w:p>
          <w:p w14:paraId="184C2E6B">
            <w:pPr>
              <w:keepNext w:val="0"/>
              <w:keepLines w:val="0"/>
              <w:suppressLineNumbers w:val="0"/>
              <w:spacing w:before="0" w:beforeAutospacing="0" w:after="0" w:afterAutospacing="0"/>
              <w:ind w:left="0" w:right="0"/>
              <w:jc w:val="center"/>
              <w:rPr>
                <w:rFonts w:hint="eastAsia" w:hAnsi="宋体" w:cs="宋体"/>
                <w:color w:val="auto"/>
                <w:sz w:val="24"/>
                <w:szCs w:val="20"/>
                <w:highlight w:val="none"/>
              </w:rPr>
            </w:pPr>
            <w:r>
              <w:rPr>
                <w:rFonts w:hint="eastAsia" w:hAnsi="宋体" w:cs="宋体"/>
                <w:b/>
                <w:bCs/>
                <w:sz w:val="24"/>
                <w:szCs w:val="20"/>
                <w:lang w:eastAsia="zh-CN"/>
              </w:rPr>
              <w:t>（</w:t>
            </w:r>
            <w:r>
              <w:rPr>
                <w:rFonts w:hint="eastAsia" w:hAnsi="宋体" w:cs="宋体"/>
                <w:b/>
                <w:bCs/>
                <w:sz w:val="24"/>
                <w:szCs w:val="20"/>
                <w:lang w:val="en-US" w:eastAsia="zh-CN"/>
              </w:rPr>
              <w:t>元</w:t>
            </w:r>
            <w:r>
              <w:rPr>
                <w:rFonts w:hint="eastAsia" w:hAnsi="宋体" w:cs="宋体"/>
                <w:b/>
                <w:bCs/>
                <w:sz w:val="24"/>
                <w:szCs w:val="20"/>
                <w:lang w:eastAsia="zh-CN"/>
              </w:rPr>
              <w:t>）</w:t>
            </w:r>
          </w:p>
        </w:tc>
        <w:tc>
          <w:tcPr>
            <w:tcW w:w="6921" w:type="dxa"/>
            <w:noWrap w:val="0"/>
            <w:vAlign w:val="top"/>
          </w:tcPr>
          <w:p w14:paraId="72EB36E2">
            <w:pPr>
              <w:keepNext w:val="0"/>
              <w:keepLines w:val="0"/>
              <w:suppressLineNumbers w:val="0"/>
              <w:spacing w:before="0" w:beforeAutospacing="0" w:after="0" w:afterAutospacing="0"/>
              <w:ind w:left="0" w:right="0"/>
              <w:rPr>
                <w:rFonts w:hint="eastAsia" w:hAnsi="宋体" w:cs="宋体"/>
                <w:sz w:val="24"/>
                <w:szCs w:val="20"/>
              </w:rPr>
            </w:pPr>
          </w:p>
          <w:p w14:paraId="6C0D1D58">
            <w:pPr>
              <w:keepNext w:val="0"/>
              <w:keepLines w:val="0"/>
              <w:suppressLineNumbers w:val="0"/>
              <w:spacing w:before="0" w:beforeAutospacing="0" w:after="0" w:afterAutospacing="0"/>
              <w:ind w:left="0" w:right="0"/>
              <w:rPr>
                <w:rFonts w:hint="eastAsia" w:hAnsi="宋体" w:cs="宋体"/>
                <w:sz w:val="24"/>
                <w:szCs w:val="20"/>
              </w:rPr>
            </w:pPr>
            <w:r>
              <w:rPr>
                <w:rFonts w:hint="eastAsia" w:hAnsi="宋体" w:cs="宋体"/>
                <w:sz w:val="24"/>
                <w:szCs w:val="20"/>
              </w:rPr>
              <w:t>小写：</w:t>
            </w:r>
            <w:r>
              <w:rPr>
                <w:rFonts w:hint="eastAsia" w:hAnsi="宋体" w:cs="宋体"/>
                <w:sz w:val="24"/>
                <w:szCs w:val="20"/>
                <w:u w:val="single"/>
              </w:rPr>
              <w:t xml:space="preserve">           </w:t>
            </w:r>
            <w:r>
              <w:rPr>
                <w:rFonts w:hint="eastAsia" w:hAnsi="宋体" w:cs="宋体"/>
                <w:sz w:val="24"/>
                <w:szCs w:val="20"/>
              </w:rPr>
              <w:t xml:space="preserve"> </w:t>
            </w:r>
          </w:p>
          <w:p w14:paraId="78D6A7F0">
            <w:pPr>
              <w:keepNext w:val="0"/>
              <w:keepLines w:val="0"/>
              <w:suppressLineNumbers w:val="0"/>
              <w:spacing w:before="0" w:beforeAutospacing="0" w:after="0" w:afterAutospacing="0"/>
              <w:ind w:left="0" w:right="0"/>
              <w:rPr>
                <w:rFonts w:hint="eastAsia" w:hAnsi="宋体" w:cs="宋体"/>
                <w:sz w:val="24"/>
                <w:szCs w:val="20"/>
              </w:rPr>
            </w:pPr>
          </w:p>
          <w:p w14:paraId="7EAA050D">
            <w:pPr>
              <w:keepNext w:val="0"/>
              <w:keepLines w:val="0"/>
              <w:suppressLineNumbers w:val="0"/>
              <w:spacing w:before="0" w:beforeAutospacing="0" w:after="0" w:afterAutospacing="0"/>
              <w:ind w:left="0" w:right="0"/>
              <w:rPr>
                <w:rFonts w:hint="eastAsia" w:hAnsi="宋体" w:cs="宋体"/>
                <w:color w:val="auto"/>
                <w:sz w:val="24"/>
                <w:szCs w:val="20"/>
                <w:highlight w:val="none"/>
              </w:rPr>
            </w:pPr>
            <w:r>
              <w:rPr>
                <w:rFonts w:hint="eastAsia" w:hAnsi="宋体" w:cs="宋体"/>
                <w:sz w:val="24"/>
                <w:szCs w:val="20"/>
              </w:rPr>
              <w:t>大写：</w:t>
            </w:r>
            <w:r>
              <w:rPr>
                <w:rFonts w:hint="eastAsia" w:hAnsi="宋体" w:cs="宋体"/>
                <w:sz w:val="24"/>
                <w:szCs w:val="20"/>
                <w:u w:val="single"/>
              </w:rPr>
              <w:t xml:space="preserve">           </w:t>
            </w:r>
            <w:r>
              <w:rPr>
                <w:rFonts w:hint="eastAsia" w:hAnsi="宋体" w:cs="宋体"/>
                <w:sz w:val="24"/>
                <w:szCs w:val="20"/>
              </w:rPr>
              <w:t xml:space="preserve"> </w:t>
            </w:r>
          </w:p>
        </w:tc>
      </w:tr>
    </w:tbl>
    <w:p w14:paraId="26885249">
      <w:pPr>
        <w:shd w:val="clear" w:color="auto" w:fill="auto"/>
        <w:ind w:firstLine="240" w:firstLineChars="100"/>
        <w:outlineLvl w:val="9"/>
        <w:rPr>
          <w:rFonts w:hint="eastAsia" w:hAnsi="宋体" w:cs="宋体"/>
          <w:color w:val="auto"/>
          <w:sz w:val="24"/>
          <w:highlight w:val="none"/>
        </w:rPr>
      </w:pPr>
    </w:p>
    <w:p w14:paraId="507CF62F">
      <w:pPr>
        <w:shd w:val="clear" w:color="auto" w:fill="auto"/>
        <w:outlineLvl w:val="9"/>
        <w:rPr>
          <w:rFonts w:hint="eastAsia" w:hAnsi="宋体" w:cs="宋体"/>
          <w:color w:val="auto"/>
          <w:sz w:val="24"/>
          <w:highlight w:val="none"/>
        </w:rPr>
      </w:pPr>
      <w:r>
        <w:rPr>
          <w:rFonts w:hint="eastAsia" w:hAnsi="宋体" w:cs="宋体"/>
          <w:color w:val="auto"/>
          <w:sz w:val="24"/>
          <w:highlight w:val="none"/>
        </w:rPr>
        <w:t>1.供应商报价应包含供应商为完成本项目所需的一切费用，包含但不限于成本，运输，税费、损耗、退换货，试剂使用培训、质控、校准、检测，完成检验项目必需的配套耗材等所有费用，采购人不再额外增加其他任何费用。</w:t>
      </w:r>
    </w:p>
    <w:p w14:paraId="00DBBC56">
      <w:pPr>
        <w:shd w:val="clear" w:color="auto" w:fill="auto"/>
        <w:outlineLvl w:val="9"/>
        <w:rPr>
          <w:rFonts w:hint="eastAsia" w:hAnsi="宋体" w:cs="宋体"/>
          <w:color w:val="auto"/>
          <w:sz w:val="24"/>
          <w:highlight w:val="none"/>
        </w:rPr>
      </w:pPr>
    </w:p>
    <w:p w14:paraId="16E8007B">
      <w:pPr>
        <w:pStyle w:val="21"/>
        <w:shd w:val="clear" w:color="auto" w:fill="auto"/>
        <w:jc w:val="both"/>
        <w:outlineLvl w:val="9"/>
        <w:rPr>
          <w:rFonts w:hint="eastAsia" w:ascii="宋体" w:hAnsi="宋体" w:cs="宋体"/>
          <w:color w:val="auto"/>
          <w:highlight w:val="none"/>
        </w:rPr>
      </w:pPr>
    </w:p>
    <w:p w14:paraId="60426206">
      <w:pPr>
        <w:shd w:val="clear" w:color="auto" w:fill="auto"/>
        <w:adjustRightInd w:val="0"/>
        <w:spacing w:line="400" w:lineRule="exact"/>
        <w:ind w:firstLine="600" w:firstLineChars="250"/>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3CE00D1E">
      <w:pPr>
        <w:shd w:val="clear" w:color="auto" w:fill="auto"/>
        <w:ind w:firstLine="616" w:firstLineChars="257"/>
        <w:outlineLvl w:val="9"/>
        <w:rPr>
          <w:rFonts w:hint="eastAsia" w:hAnsi="宋体" w:cs="宋体"/>
          <w:color w:val="auto"/>
          <w:sz w:val="24"/>
          <w:highlight w:val="none"/>
        </w:rPr>
      </w:pPr>
      <w:r>
        <w:rPr>
          <w:rFonts w:hint="eastAsia" w:hAnsi="宋体" w:cs="宋体"/>
          <w:color w:val="auto"/>
          <w:sz w:val="24"/>
          <w:highlight w:val="none"/>
        </w:rPr>
        <w:t xml:space="preserve">法定代表人或授权代表（签字或盖章）： </w:t>
      </w:r>
    </w:p>
    <w:p w14:paraId="4546A10A">
      <w:pPr>
        <w:shd w:val="clear" w:color="auto" w:fill="auto"/>
        <w:ind w:firstLine="616" w:firstLineChars="257"/>
        <w:outlineLvl w:val="9"/>
        <w:rPr>
          <w:rFonts w:hint="eastAsia" w:hAnsi="宋体" w:cs="宋体"/>
          <w:color w:val="auto"/>
          <w:sz w:val="24"/>
          <w:highlight w:val="none"/>
        </w:rPr>
      </w:pPr>
      <w:r>
        <w:rPr>
          <w:rFonts w:hint="eastAsia" w:hAnsi="宋体" w:cs="宋体"/>
          <w:color w:val="auto"/>
          <w:sz w:val="24"/>
          <w:highlight w:val="none"/>
        </w:rPr>
        <w:t xml:space="preserve">日      期：  年  月  日 </w:t>
      </w:r>
    </w:p>
    <w:p w14:paraId="12D6C1B4">
      <w:pPr>
        <w:shd w:val="clear" w:color="auto" w:fill="auto"/>
        <w:outlineLvl w:val="1"/>
        <w:rPr>
          <w:rFonts w:hint="eastAsia" w:hAnsi="宋体" w:cs="宋体"/>
          <w:b/>
          <w:bCs/>
          <w:color w:val="auto"/>
          <w:sz w:val="28"/>
          <w:szCs w:val="28"/>
          <w:highlight w:val="none"/>
        </w:rPr>
      </w:pPr>
      <w:bookmarkStart w:id="503" w:name="_Toc5590"/>
      <w:r>
        <w:rPr>
          <w:rFonts w:hint="eastAsia" w:hAnsi="宋体" w:cs="宋体"/>
          <w:b/>
          <w:bCs/>
          <w:color w:val="auto"/>
          <w:sz w:val="28"/>
          <w:szCs w:val="28"/>
          <w:highlight w:val="none"/>
        </w:rPr>
        <w:br w:type="page"/>
      </w:r>
      <w:bookmarkStart w:id="504" w:name="_Toc927"/>
      <w:bookmarkStart w:id="505" w:name="_Toc16834"/>
      <w:r>
        <w:rPr>
          <w:rFonts w:hint="eastAsia" w:hAnsi="宋体" w:cs="宋体"/>
          <w:b/>
          <w:bCs/>
          <w:color w:val="auto"/>
          <w:sz w:val="28"/>
          <w:szCs w:val="28"/>
          <w:highlight w:val="none"/>
        </w:rPr>
        <w:t>格式2-4 分项报价表</w:t>
      </w:r>
      <w:bookmarkEnd w:id="503"/>
      <w:bookmarkEnd w:id="504"/>
      <w:bookmarkEnd w:id="505"/>
    </w:p>
    <w:p w14:paraId="23523D9A">
      <w:pPr>
        <w:shd w:val="clear" w:color="auto" w:fill="auto"/>
        <w:rPr>
          <w:rFonts w:hint="eastAsia" w:hAnsi="宋体" w:cs="宋体"/>
          <w:color w:val="auto"/>
          <w:sz w:val="24"/>
          <w:szCs w:val="24"/>
          <w:highlight w:val="none"/>
        </w:rPr>
      </w:pPr>
    </w:p>
    <w:p w14:paraId="2B25B20E">
      <w:pPr>
        <w:shd w:val="clear" w:color="auto" w:fill="auto"/>
        <w:rPr>
          <w:rFonts w:hint="eastAsia" w:hAnsi="宋体" w:cs="宋体"/>
          <w:color w:val="auto"/>
          <w:sz w:val="24"/>
          <w:szCs w:val="24"/>
          <w:highlight w:val="none"/>
        </w:rPr>
      </w:pPr>
      <w:r>
        <w:rPr>
          <w:rFonts w:hint="eastAsia" w:hAnsi="宋体" w:cs="宋体"/>
          <w:color w:val="auto"/>
          <w:sz w:val="24"/>
          <w:szCs w:val="24"/>
          <w:highlight w:val="none"/>
        </w:rPr>
        <w:t>项目名称：</w:t>
      </w:r>
    </w:p>
    <w:p w14:paraId="7DDBBDA9">
      <w:pPr>
        <w:pStyle w:val="13"/>
        <w:numPr>
          <w:ilvl w:val="0"/>
          <w:numId w:val="0"/>
        </w:numPr>
        <w:shd w:val="clear" w:color="auto" w:fill="auto"/>
        <w:rPr>
          <w:rFonts w:hint="eastAsia" w:ascii="宋体" w:hAnsi="宋体" w:eastAsia="宋体" w:cs="宋体"/>
          <w:color w:val="auto"/>
          <w:sz w:val="24"/>
          <w:szCs w:val="24"/>
          <w:highlight w:val="none"/>
        </w:rPr>
      </w:pPr>
    </w:p>
    <w:p w14:paraId="0DC0B864">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28"/>
        <w:tblW w:w="5581" w:type="pct"/>
        <w:tblInd w:w="0" w:type="dxa"/>
        <w:tblLayout w:type="autofit"/>
        <w:tblCellMar>
          <w:top w:w="0" w:type="dxa"/>
          <w:left w:w="108" w:type="dxa"/>
          <w:bottom w:w="0" w:type="dxa"/>
          <w:right w:w="108" w:type="dxa"/>
        </w:tblCellMar>
      </w:tblPr>
      <w:tblGrid>
        <w:gridCol w:w="696"/>
        <w:gridCol w:w="1186"/>
        <w:gridCol w:w="1519"/>
        <w:gridCol w:w="1345"/>
        <w:gridCol w:w="919"/>
        <w:gridCol w:w="919"/>
        <w:gridCol w:w="889"/>
        <w:gridCol w:w="2766"/>
      </w:tblGrid>
      <w:tr w14:paraId="131B61ED">
        <w:tblPrEx>
          <w:tblCellMar>
            <w:top w:w="0" w:type="dxa"/>
            <w:left w:w="108" w:type="dxa"/>
            <w:bottom w:w="0" w:type="dxa"/>
            <w:right w:w="108" w:type="dxa"/>
          </w:tblCellMar>
        </w:tblPrEx>
        <w:trPr>
          <w:trHeight w:val="810" w:hRule="atLeast"/>
        </w:trPr>
        <w:tc>
          <w:tcPr>
            <w:tcW w:w="34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471E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序号</w:t>
            </w:r>
          </w:p>
        </w:tc>
        <w:tc>
          <w:tcPr>
            <w:tcW w:w="579" w:type="pct"/>
            <w:tcBorders>
              <w:top w:val="single" w:color="auto" w:sz="4" w:space="0"/>
              <w:left w:val="nil"/>
              <w:bottom w:val="single" w:color="auto" w:sz="4" w:space="0"/>
              <w:right w:val="single" w:color="auto" w:sz="4" w:space="0"/>
            </w:tcBorders>
            <w:shd w:val="clear" w:color="000000" w:fill="FFFFFF"/>
            <w:noWrap w:val="0"/>
            <w:vAlign w:val="center"/>
          </w:tcPr>
          <w:p w14:paraId="24228F7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产品名称</w:t>
            </w:r>
          </w:p>
        </w:tc>
        <w:tc>
          <w:tcPr>
            <w:tcW w:w="742" w:type="pct"/>
            <w:tcBorders>
              <w:top w:val="single" w:color="auto" w:sz="4" w:space="0"/>
              <w:left w:val="nil"/>
              <w:bottom w:val="single" w:color="auto" w:sz="4" w:space="0"/>
              <w:right w:val="single" w:color="auto" w:sz="4" w:space="0"/>
            </w:tcBorders>
            <w:shd w:val="clear" w:color="000000" w:fill="FFFFFF"/>
            <w:noWrap w:val="0"/>
            <w:vAlign w:val="center"/>
          </w:tcPr>
          <w:p w14:paraId="60D771F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生产厂家名称</w:t>
            </w:r>
          </w:p>
        </w:tc>
        <w:tc>
          <w:tcPr>
            <w:tcW w:w="657" w:type="pct"/>
            <w:tcBorders>
              <w:top w:val="single" w:color="auto" w:sz="4" w:space="0"/>
              <w:left w:val="nil"/>
              <w:bottom w:val="single" w:color="auto" w:sz="4" w:space="0"/>
              <w:right w:val="single" w:color="auto" w:sz="4" w:space="0"/>
            </w:tcBorders>
            <w:shd w:val="clear" w:color="000000" w:fill="FFFFFF"/>
            <w:noWrap w:val="0"/>
            <w:vAlign w:val="center"/>
          </w:tcPr>
          <w:p w14:paraId="226D136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规格型号</w:t>
            </w:r>
          </w:p>
        </w:tc>
        <w:tc>
          <w:tcPr>
            <w:tcW w:w="449" w:type="pct"/>
            <w:tcBorders>
              <w:top w:val="single" w:color="auto" w:sz="4" w:space="0"/>
              <w:left w:val="nil"/>
              <w:bottom w:val="single" w:color="auto" w:sz="4" w:space="0"/>
              <w:right w:val="single" w:color="auto" w:sz="4" w:space="0"/>
            </w:tcBorders>
            <w:shd w:val="clear" w:color="000000" w:fill="FFFFFF"/>
            <w:noWrap w:val="0"/>
            <w:vAlign w:val="center"/>
          </w:tcPr>
          <w:p w14:paraId="3E650511">
            <w:pPr>
              <w:keepNext w:val="0"/>
              <w:keepLines w:val="0"/>
              <w:suppressLineNumbers w:val="0"/>
              <w:shd w:val="clear" w:color="auto" w:fill="auto"/>
              <w:spacing w:before="0" w:beforeAutospacing="0" w:after="0" w:afterAutospacing="0"/>
              <w:ind w:left="0" w:right="0"/>
              <w:jc w:val="center"/>
              <w:rPr>
                <w:rFonts w:hint="eastAsia" w:hAnsi="宋体" w:eastAsia="宋体" w:cs="宋体"/>
                <w:color w:val="auto"/>
                <w:sz w:val="24"/>
                <w:szCs w:val="20"/>
                <w:highlight w:val="none"/>
                <w:lang w:val="en-US" w:eastAsia="zh-CN"/>
              </w:rPr>
            </w:pPr>
            <w:r>
              <w:rPr>
                <w:rFonts w:hint="eastAsia" w:hAnsi="宋体" w:cs="宋体"/>
                <w:color w:val="auto"/>
                <w:sz w:val="24"/>
                <w:szCs w:val="20"/>
                <w:highlight w:val="none"/>
                <w:lang w:val="en-US" w:eastAsia="zh-CN"/>
              </w:rPr>
              <w:t>品牌</w:t>
            </w:r>
          </w:p>
        </w:tc>
        <w:tc>
          <w:tcPr>
            <w:tcW w:w="449" w:type="pct"/>
            <w:tcBorders>
              <w:top w:val="single" w:color="auto" w:sz="4" w:space="0"/>
              <w:left w:val="nil"/>
              <w:bottom w:val="single" w:color="auto" w:sz="4" w:space="0"/>
              <w:right w:val="single" w:color="auto" w:sz="4" w:space="0"/>
            </w:tcBorders>
            <w:shd w:val="clear" w:color="000000" w:fill="FFFFFF"/>
            <w:noWrap w:val="0"/>
            <w:vAlign w:val="center"/>
          </w:tcPr>
          <w:p w14:paraId="7C2E6D7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单位</w:t>
            </w:r>
          </w:p>
        </w:tc>
        <w:tc>
          <w:tcPr>
            <w:tcW w:w="434" w:type="pct"/>
            <w:tcBorders>
              <w:top w:val="single" w:color="auto" w:sz="4" w:space="0"/>
              <w:left w:val="nil"/>
              <w:bottom w:val="single" w:color="auto" w:sz="4" w:space="0"/>
              <w:right w:val="single" w:color="auto" w:sz="4" w:space="0"/>
            </w:tcBorders>
            <w:shd w:val="clear" w:color="000000" w:fill="FFFFFF"/>
            <w:noWrap w:val="0"/>
            <w:vAlign w:val="center"/>
          </w:tcPr>
          <w:p w14:paraId="5F75B10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单价</w:t>
            </w:r>
          </w:p>
        </w:tc>
        <w:tc>
          <w:tcPr>
            <w:tcW w:w="1348" w:type="pct"/>
            <w:tcBorders>
              <w:top w:val="single" w:color="auto" w:sz="4" w:space="0"/>
              <w:left w:val="nil"/>
              <w:bottom w:val="single" w:color="auto" w:sz="4" w:space="0"/>
              <w:right w:val="single" w:color="auto" w:sz="4" w:space="0"/>
            </w:tcBorders>
            <w:shd w:val="clear" w:color="000000" w:fill="FFFFFF"/>
            <w:noWrap w:val="0"/>
            <w:vAlign w:val="center"/>
          </w:tcPr>
          <w:p w14:paraId="6F953374">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注册（备案）证号</w:t>
            </w:r>
          </w:p>
        </w:tc>
      </w:tr>
      <w:tr w14:paraId="6F85749C">
        <w:tblPrEx>
          <w:tblCellMar>
            <w:top w:w="0" w:type="dxa"/>
            <w:left w:w="108" w:type="dxa"/>
            <w:bottom w:w="0" w:type="dxa"/>
            <w:right w:w="108" w:type="dxa"/>
          </w:tblCellMar>
        </w:tblPrEx>
        <w:trPr>
          <w:trHeight w:val="526" w:hRule="atLeast"/>
        </w:trPr>
        <w:tc>
          <w:tcPr>
            <w:tcW w:w="340" w:type="pct"/>
            <w:tcBorders>
              <w:top w:val="single" w:color="auto" w:sz="4" w:space="0"/>
              <w:left w:val="single" w:color="auto" w:sz="4" w:space="0"/>
              <w:bottom w:val="single" w:color="auto" w:sz="4" w:space="0"/>
              <w:right w:val="single" w:color="auto" w:sz="4" w:space="0"/>
            </w:tcBorders>
            <w:noWrap/>
            <w:vAlign w:val="center"/>
          </w:tcPr>
          <w:p w14:paraId="6A491F9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1</w:t>
            </w:r>
          </w:p>
        </w:tc>
        <w:tc>
          <w:tcPr>
            <w:tcW w:w="579" w:type="pct"/>
            <w:tcBorders>
              <w:top w:val="single" w:color="auto" w:sz="4" w:space="0"/>
              <w:left w:val="nil"/>
              <w:bottom w:val="single" w:color="auto" w:sz="4" w:space="0"/>
              <w:right w:val="single" w:color="auto" w:sz="4" w:space="0"/>
            </w:tcBorders>
            <w:noWrap w:val="0"/>
            <w:vAlign w:val="center"/>
          </w:tcPr>
          <w:p w14:paraId="08684E5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42" w:type="pct"/>
            <w:tcBorders>
              <w:top w:val="single" w:color="auto" w:sz="4" w:space="0"/>
              <w:left w:val="nil"/>
              <w:bottom w:val="single" w:color="auto" w:sz="4" w:space="0"/>
              <w:right w:val="single" w:color="auto" w:sz="4" w:space="0"/>
            </w:tcBorders>
            <w:noWrap w:val="0"/>
            <w:vAlign w:val="center"/>
          </w:tcPr>
          <w:p w14:paraId="19708FB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657" w:type="pct"/>
            <w:tcBorders>
              <w:top w:val="single" w:color="auto" w:sz="4" w:space="0"/>
              <w:left w:val="nil"/>
              <w:bottom w:val="single" w:color="auto" w:sz="4" w:space="0"/>
              <w:right w:val="single" w:color="auto" w:sz="4" w:space="0"/>
            </w:tcBorders>
            <w:noWrap w:val="0"/>
            <w:vAlign w:val="center"/>
          </w:tcPr>
          <w:p w14:paraId="67126C2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single" w:color="auto" w:sz="4" w:space="0"/>
              <w:left w:val="nil"/>
              <w:bottom w:val="single" w:color="auto" w:sz="4" w:space="0"/>
              <w:right w:val="single" w:color="auto" w:sz="4" w:space="0"/>
            </w:tcBorders>
            <w:noWrap w:val="0"/>
            <w:vAlign w:val="center"/>
          </w:tcPr>
          <w:p w14:paraId="26037AD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single" w:color="auto" w:sz="4" w:space="0"/>
              <w:left w:val="nil"/>
              <w:bottom w:val="single" w:color="auto" w:sz="4" w:space="0"/>
              <w:right w:val="single" w:color="auto" w:sz="4" w:space="0"/>
            </w:tcBorders>
            <w:noWrap w:val="0"/>
            <w:vAlign w:val="center"/>
          </w:tcPr>
          <w:p w14:paraId="7A786C8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34" w:type="pct"/>
            <w:tcBorders>
              <w:top w:val="single" w:color="auto" w:sz="4" w:space="0"/>
              <w:left w:val="nil"/>
              <w:bottom w:val="single" w:color="auto" w:sz="4" w:space="0"/>
              <w:right w:val="single" w:color="auto" w:sz="4" w:space="0"/>
            </w:tcBorders>
            <w:noWrap w:val="0"/>
            <w:vAlign w:val="center"/>
          </w:tcPr>
          <w:p w14:paraId="3F55B91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348" w:type="pct"/>
            <w:tcBorders>
              <w:top w:val="single" w:color="auto" w:sz="4" w:space="0"/>
              <w:left w:val="nil"/>
              <w:bottom w:val="single" w:color="auto" w:sz="4" w:space="0"/>
              <w:right w:val="single" w:color="auto" w:sz="4" w:space="0"/>
            </w:tcBorders>
            <w:noWrap w:val="0"/>
            <w:vAlign w:val="center"/>
          </w:tcPr>
          <w:p w14:paraId="7C70C94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03943184">
        <w:tblPrEx>
          <w:tblCellMar>
            <w:top w:w="0" w:type="dxa"/>
            <w:left w:w="108" w:type="dxa"/>
            <w:bottom w:w="0" w:type="dxa"/>
            <w:right w:w="108" w:type="dxa"/>
          </w:tblCellMar>
        </w:tblPrEx>
        <w:trPr>
          <w:trHeight w:val="736" w:hRule="atLeast"/>
        </w:trPr>
        <w:tc>
          <w:tcPr>
            <w:tcW w:w="340" w:type="pct"/>
            <w:tcBorders>
              <w:top w:val="nil"/>
              <w:left w:val="single" w:color="auto" w:sz="4" w:space="0"/>
              <w:bottom w:val="single" w:color="auto" w:sz="4" w:space="0"/>
              <w:right w:val="single" w:color="auto" w:sz="4" w:space="0"/>
            </w:tcBorders>
            <w:noWrap/>
            <w:vAlign w:val="center"/>
          </w:tcPr>
          <w:p w14:paraId="042875CA">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2</w:t>
            </w:r>
          </w:p>
        </w:tc>
        <w:tc>
          <w:tcPr>
            <w:tcW w:w="579" w:type="pct"/>
            <w:tcBorders>
              <w:top w:val="nil"/>
              <w:left w:val="nil"/>
              <w:bottom w:val="single" w:color="auto" w:sz="4" w:space="0"/>
              <w:right w:val="single" w:color="auto" w:sz="4" w:space="0"/>
            </w:tcBorders>
            <w:noWrap w:val="0"/>
            <w:vAlign w:val="center"/>
          </w:tcPr>
          <w:p w14:paraId="15DD8E4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42" w:type="pct"/>
            <w:tcBorders>
              <w:top w:val="nil"/>
              <w:left w:val="nil"/>
              <w:bottom w:val="single" w:color="auto" w:sz="4" w:space="0"/>
              <w:right w:val="single" w:color="auto" w:sz="4" w:space="0"/>
            </w:tcBorders>
            <w:noWrap w:val="0"/>
            <w:vAlign w:val="center"/>
          </w:tcPr>
          <w:p w14:paraId="2AFAE16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657" w:type="pct"/>
            <w:tcBorders>
              <w:top w:val="nil"/>
              <w:left w:val="nil"/>
              <w:bottom w:val="single" w:color="auto" w:sz="4" w:space="0"/>
              <w:right w:val="single" w:color="auto" w:sz="4" w:space="0"/>
            </w:tcBorders>
            <w:noWrap w:val="0"/>
            <w:vAlign w:val="center"/>
          </w:tcPr>
          <w:p w14:paraId="361CABD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2983822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6FE3E2A4">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34" w:type="pct"/>
            <w:tcBorders>
              <w:top w:val="nil"/>
              <w:left w:val="nil"/>
              <w:bottom w:val="single" w:color="auto" w:sz="4" w:space="0"/>
              <w:right w:val="single" w:color="auto" w:sz="4" w:space="0"/>
            </w:tcBorders>
            <w:noWrap w:val="0"/>
            <w:vAlign w:val="center"/>
          </w:tcPr>
          <w:p w14:paraId="5026430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348" w:type="pct"/>
            <w:tcBorders>
              <w:top w:val="nil"/>
              <w:left w:val="nil"/>
              <w:bottom w:val="single" w:color="auto" w:sz="4" w:space="0"/>
              <w:right w:val="single" w:color="auto" w:sz="4" w:space="0"/>
            </w:tcBorders>
            <w:noWrap w:val="0"/>
            <w:vAlign w:val="center"/>
          </w:tcPr>
          <w:p w14:paraId="6F0CB7F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599BC60A">
        <w:tblPrEx>
          <w:tblCellMar>
            <w:top w:w="0" w:type="dxa"/>
            <w:left w:w="108" w:type="dxa"/>
            <w:bottom w:w="0" w:type="dxa"/>
            <w:right w:w="108" w:type="dxa"/>
          </w:tblCellMar>
        </w:tblPrEx>
        <w:trPr>
          <w:trHeight w:val="1115" w:hRule="atLeast"/>
        </w:trPr>
        <w:tc>
          <w:tcPr>
            <w:tcW w:w="340" w:type="pct"/>
            <w:tcBorders>
              <w:top w:val="nil"/>
              <w:left w:val="single" w:color="auto" w:sz="4" w:space="0"/>
              <w:bottom w:val="single" w:color="auto" w:sz="4" w:space="0"/>
              <w:right w:val="single" w:color="auto" w:sz="4" w:space="0"/>
            </w:tcBorders>
            <w:noWrap/>
            <w:vAlign w:val="center"/>
          </w:tcPr>
          <w:p w14:paraId="05A34E4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3</w:t>
            </w:r>
          </w:p>
        </w:tc>
        <w:tc>
          <w:tcPr>
            <w:tcW w:w="579" w:type="pct"/>
            <w:tcBorders>
              <w:top w:val="nil"/>
              <w:left w:val="nil"/>
              <w:bottom w:val="single" w:color="auto" w:sz="4" w:space="0"/>
              <w:right w:val="single" w:color="auto" w:sz="4" w:space="0"/>
            </w:tcBorders>
            <w:noWrap w:val="0"/>
            <w:vAlign w:val="center"/>
          </w:tcPr>
          <w:p w14:paraId="48AEB68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w:t>
            </w:r>
          </w:p>
        </w:tc>
        <w:tc>
          <w:tcPr>
            <w:tcW w:w="742" w:type="pct"/>
            <w:tcBorders>
              <w:top w:val="nil"/>
              <w:left w:val="nil"/>
              <w:bottom w:val="single" w:color="auto" w:sz="4" w:space="0"/>
              <w:right w:val="single" w:color="auto" w:sz="4" w:space="0"/>
            </w:tcBorders>
            <w:noWrap w:val="0"/>
            <w:vAlign w:val="center"/>
          </w:tcPr>
          <w:p w14:paraId="70955BB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657" w:type="pct"/>
            <w:tcBorders>
              <w:top w:val="nil"/>
              <w:left w:val="nil"/>
              <w:bottom w:val="single" w:color="auto" w:sz="4" w:space="0"/>
              <w:right w:val="single" w:color="auto" w:sz="4" w:space="0"/>
            </w:tcBorders>
            <w:noWrap w:val="0"/>
            <w:vAlign w:val="center"/>
          </w:tcPr>
          <w:p w14:paraId="7DAF8D5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73C7041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49" w:type="pct"/>
            <w:tcBorders>
              <w:top w:val="nil"/>
              <w:left w:val="nil"/>
              <w:bottom w:val="single" w:color="auto" w:sz="4" w:space="0"/>
              <w:right w:val="single" w:color="auto" w:sz="4" w:space="0"/>
            </w:tcBorders>
            <w:noWrap w:val="0"/>
            <w:vAlign w:val="center"/>
          </w:tcPr>
          <w:p w14:paraId="4A9E90A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34" w:type="pct"/>
            <w:tcBorders>
              <w:top w:val="nil"/>
              <w:left w:val="nil"/>
              <w:bottom w:val="single" w:color="auto" w:sz="4" w:space="0"/>
              <w:right w:val="single" w:color="auto" w:sz="4" w:space="0"/>
            </w:tcBorders>
            <w:noWrap w:val="0"/>
            <w:vAlign w:val="center"/>
          </w:tcPr>
          <w:p w14:paraId="0FE7A05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348" w:type="pct"/>
            <w:tcBorders>
              <w:top w:val="nil"/>
              <w:left w:val="nil"/>
              <w:bottom w:val="single" w:color="auto" w:sz="4" w:space="0"/>
              <w:right w:val="single" w:color="auto" w:sz="4" w:space="0"/>
            </w:tcBorders>
            <w:noWrap w:val="0"/>
            <w:vAlign w:val="center"/>
          </w:tcPr>
          <w:p w14:paraId="09E1FEE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7F975986">
        <w:tblPrEx>
          <w:tblCellMar>
            <w:top w:w="0" w:type="dxa"/>
            <w:left w:w="108" w:type="dxa"/>
            <w:bottom w:w="0" w:type="dxa"/>
            <w:right w:w="108" w:type="dxa"/>
          </w:tblCellMar>
        </w:tblPrEx>
        <w:trPr>
          <w:trHeight w:val="111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13AD236">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37DAB0F1">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响应总价（</w:t>
            </w:r>
            <w:r>
              <w:rPr>
                <w:rFonts w:hint="eastAsia" w:hAnsi="宋体" w:cs="宋体"/>
                <w:color w:val="auto"/>
                <w:sz w:val="24"/>
                <w:szCs w:val="20"/>
                <w:highlight w:val="none"/>
              </w:rPr>
              <w:t>以上清单所有耗材单价合计</w:t>
            </w:r>
            <w:r>
              <w:rPr>
                <w:rFonts w:hint="eastAsia" w:hAnsi="宋体" w:cs="宋体"/>
                <w:b/>
                <w:bCs/>
                <w:color w:val="auto"/>
                <w:sz w:val="24"/>
                <w:szCs w:val="20"/>
                <w:highlight w:val="none"/>
              </w:rPr>
              <w:t>）：</w:t>
            </w:r>
          </w:p>
          <w:p w14:paraId="77BB32B5">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53C3D2D3">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小写：</w:t>
            </w:r>
          </w:p>
          <w:p w14:paraId="1843F844">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3995FD50">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大写：</w:t>
            </w:r>
          </w:p>
        </w:tc>
      </w:tr>
    </w:tbl>
    <w:p w14:paraId="642188DF">
      <w:pPr>
        <w:pStyle w:val="13"/>
        <w:numPr>
          <w:ilvl w:val="0"/>
          <w:numId w:val="0"/>
        </w:numPr>
        <w:shd w:val="clear" w:color="auto" w:fill="auto"/>
        <w:rPr>
          <w:rFonts w:hint="eastAsia" w:ascii="宋体" w:hAnsi="宋体" w:eastAsia="宋体" w:cs="宋体"/>
          <w:color w:val="auto"/>
          <w:szCs w:val="21"/>
          <w:highlight w:val="none"/>
        </w:rPr>
      </w:pPr>
    </w:p>
    <w:p w14:paraId="68A1618A">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注：1、供应商必须按“分项报价表”的格式详细报出总价的各个组成部分的报价，格式可自拟。</w:t>
      </w:r>
    </w:p>
    <w:p w14:paraId="30234778">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2、“分项报价表”各分项报价合计应当与“首轮报价表”报价合计相等。</w:t>
      </w:r>
    </w:p>
    <w:p w14:paraId="359D3721">
      <w:pPr>
        <w:pStyle w:val="21"/>
        <w:shd w:val="clear" w:color="auto" w:fill="auto"/>
        <w:jc w:val="both"/>
        <w:outlineLvl w:val="9"/>
        <w:rPr>
          <w:rFonts w:hint="eastAsia" w:ascii="宋体" w:hAnsi="宋体" w:cs="宋体"/>
          <w:color w:val="auto"/>
          <w:highlight w:val="none"/>
        </w:rPr>
      </w:pPr>
    </w:p>
    <w:p w14:paraId="7D8E6EF9">
      <w:pPr>
        <w:shd w:val="clear" w:color="auto" w:fill="auto"/>
        <w:adjustRightInd w:val="0"/>
        <w:spacing w:line="400" w:lineRule="exact"/>
        <w:ind w:firstLine="540" w:firstLineChars="22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供应商名称：</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（盖单位公章）</w:t>
      </w:r>
    </w:p>
    <w:p w14:paraId="545F2397">
      <w:pPr>
        <w:shd w:val="clear" w:color="auto" w:fill="auto"/>
        <w:adjustRightInd w:val="0"/>
        <w:spacing w:line="400" w:lineRule="exact"/>
        <w:ind w:firstLine="540" w:firstLineChars="22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法定代表人或授权代表（签字或盖章）： </w:t>
      </w:r>
    </w:p>
    <w:p w14:paraId="5AC1AA6F">
      <w:pPr>
        <w:shd w:val="clear" w:color="auto" w:fill="auto"/>
        <w:adjustRightInd w:val="0"/>
        <w:spacing w:line="400" w:lineRule="exact"/>
        <w:ind w:firstLine="540" w:firstLineChars="225"/>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日      期：  年  月  日 </w:t>
      </w:r>
    </w:p>
    <w:p w14:paraId="35B82DD9">
      <w:pPr>
        <w:pStyle w:val="14"/>
        <w:numPr>
          <w:ilvl w:val="0"/>
          <w:numId w:val="0"/>
        </w:numPr>
        <w:shd w:val="clear" w:color="auto" w:fill="auto"/>
        <w:rPr>
          <w:rFonts w:hint="eastAsia" w:ascii="宋体" w:hAnsi="宋体" w:eastAsia="宋体" w:cs="宋体"/>
          <w:color w:val="auto"/>
          <w:highlight w:val="none"/>
        </w:rPr>
        <w:sectPr>
          <w:pgSz w:w="11905" w:h="16838"/>
          <w:pgMar w:top="1020" w:right="1474" w:bottom="1587" w:left="1474" w:header="850" w:footer="992" w:gutter="0"/>
          <w:cols w:space="720" w:num="1"/>
          <w:rtlGutter w:val="1"/>
          <w:docGrid w:linePitch="312" w:charSpace="0"/>
        </w:sectPr>
      </w:pPr>
    </w:p>
    <w:p w14:paraId="7D9F0C58">
      <w:pPr>
        <w:shd w:val="clear" w:color="auto" w:fill="auto"/>
        <w:spacing w:line="480" w:lineRule="auto"/>
        <w:outlineLvl w:val="1"/>
        <w:rPr>
          <w:rFonts w:hint="eastAsia" w:hAnsi="宋体" w:cs="宋体"/>
          <w:b/>
          <w:bCs/>
          <w:color w:val="auto"/>
          <w:sz w:val="28"/>
          <w:szCs w:val="28"/>
          <w:highlight w:val="none"/>
        </w:rPr>
      </w:pPr>
      <w:bookmarkStart w:id="506" w:name="_Toc2473"/>
      <w:bookmarkStart w:id="507" w:name="_Toc25060"/>
      <w:bookmarkStart w:id="508" w:name="_Toc12240"/>
      <w:bookmarkStart w:id="509" w:name="_Toc8195"/>
      <w:bookmarkStart w:id="510" w:name="_Toc13661"/>
      <w:bookmarkStart w:id="511" w:name="_Toc8681"/>
      <w:bookmarkStart w:id="512" w:name="_Toc32472"/>
      <w:bookmarkStart w:id="513" w:name="_Toc19209"/>
      <w:bookmarkStart w:id="514" w:name="_Toc29080"/>
      <w:bookmarkStart w:id="515" w:name="_Toc30040"/>
      <w:bookmarkStart w:id="516" w:name="_Toc17939"/>
      <w:bookmarkStart w:id="517" w:name="_Toc28528"/>
      <w:bookmarkStart w:id="518" w:name="_Toc19153"/>
      <w:bookmarkStart w:id="519" w:name="_Toc23425"/>
      <w:bookmarkStart w:id="520" w:name="_Toc29287"/>
      <w:bookmarkStart w:id="521" w:name="_Toc24724"/>
      <w:bookmarkStart w:id="522" w:name="_Toc217446087"/>
      <w:bookmarkStart w:id="523" w:name="_Toc16804"/>
      <w:bookmarkStart w:id="524" w:name="_Toc26787"/>
      <w:bookmarkStart w:id="525" w:name="_Toc25601"/>
      <w:bookmarkStart w:id="526" w:name="_Toc28336"/>
      <w:bookmarkStart w:id="527" w:name="_Toc26369"/>
      <w:bookmarkStart w:id="528" w:name="_Toc11915"/>
      <w:r>
        <w:rPr>
          <w:rFonts w:hint="eastAsia" w:hAnsi="宋体" w:cs="宋体"/>
          <w:b/>
          <w:bCs/>
          <w:color w:val="auto"/>
          <w:sz w:val="28"/>
          <w:szCs w:val="28"/>
          <w:highlight w:val="none"/>
        </w:rPr>
        <w:t>格式2-5 商务应答表</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959F25E">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项目名称：</w:t>
      </w:r>
    </w:p>
    <w:p w14:paraId="6DDCFC0C">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项目编号：</w:t>
      </w:r>
    </w:p>
    <w:bookmarkEnd w:id="520"/>
    <w:bookmarkEnd w:id="521"/>
    <w:bookmarkEnd w:id="522"/>
    <w:bookmarkEnd w:id="523"/>
    <w:bookmarkEnd w:id="524"/>
    <w:bookmarkEnd w:id="525"/>
    <w:bookmarkEnd w:id="526"/>
    <w:bookmarkEnd w:id="527"/>
    <w:bookmarkEnd w:id="528"/>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367"/>
        <w:gridCol w:w="2808"/>
        <w:gridCol w:w="2807"/>
      </w:tblGrid>
      <w:tr w14:paraId="6770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18A2CA89">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序号</w:t>
            </w:r>
          </w:p>
        </w:tc>
        <w:tc>
          <w:tcPr>
            <w:tcW w:w="2367" w:type="dxa"/>
            <w:tcBorders>
              <w:top w:val="single" w:color="auto" w:sz="4" w:space="0"/>
              <w:left w:val="nil"/>
              <w:bottom w:val="single" w:color="auto" w:sz="4" w:space="0"/>
              <w:right w:val="single" w:color="auto" w:sz="4" w:space="0"/>
            </w:tcBorders>
            <w:noWrap w:val="0"/>
            <w:vAlign w:val="center"/>
          </w:tcPr>
          <w:p w14:paraId="099377A9">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磋商文件要求</w:t>
            </w:r>
          </w:p>
        </w:tc>
        <w:tc>
          <w:tcPr>
            <w:tcW w:w="2808" w:type="dxa"/>
            <w:tcBorders>
              <w:top w:val="single" w:color="auto" w:sz="4" w:space="0"/>
              <w:left w:val="nil"/>
              <w:bottom w:val="single" w:color="auto" w:sz="4" w:space="0"/>
              <w:right w:val="single" w:color="auto" w:sz="4" w:space="0"/>
            </w:tcBorders>
            <w:noWrap w:val="0"/>
            <w:vAlign w:val="center"/>
          </w:tcPr>
          <w:p w14:paraId="66314789">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响应文件应答</w:t>
            </w:r>
          </w:p>
        </w:tc>
        <w:tc>
          <w:tcPr>
            <w:tcW w:w="2807" w:type="dxa"/>
            <w:tcBorders>
              <w:top w:val="single" w:color="auto" w:sz="4" w:space="0"/>
              <w:left w:val="nil"/>
              <w:bottom w:val="single" w:color="auto" w:sz="4" w:space="0"/>
              <w:right w:val="single" w:color="auto" w:sz="4" w:space="0"/>
            </w:tcBorders>
            <w:noWrap w:val="0"/>
            <w:vAlign w:val="center"/>
          </w:tcPr>
          <w:p w14:paraId="23763C5C">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b/>
                <w:color w:val="auto"/>
                <w:sz w:val="24"/>
                <w:szCs w:val="20"/>
                <w:highlight w:val="none"/>
              </w:rPr>
            </w:pPr>
            <w:r>
              <w:rPr>
                <w:rFonts w:hint="eastAsia" w:hAnsi="宋体" w:cs="宋体"/>
                <w:b/>
                <w:color w:val="auto"/>
                <w:sz w:val="24"/>
                <w:szCs w:val="20"/>
                <w:highlight w:val="none"/>
                <w:lang w:bidi="ar"/>
              </w:rPr>
              <w:t>偏离情况（正/负/无）</w:t>
            </w:r>
          </w:p>
        </w:tc>
      </w:tr>
      <w:tr w14:paraId="10E0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61785FB0">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1</w:t>
            </w:r>
          </w:p>
        </w:tc>
        <w:tc>
          <w:tcPr>
            <w:tcW w:w="2367" w:type="dxa"/>
            <w:tcBorders>
              <w:top w:val="single" w:color="auto" w:sz="4" w:space="0"/>
              <w:left w:val="nil"/>
              <w:bottom w:val="single" w:color="auto" w:sz="4" w:space="0"/>
              <w:right w:val="single" w:color="auto" w:sz="4" w:space="0"/>
            </w:tcBorders>
            <w:noWrap w:val="0"/>
            <w:vAlign w:val="center"/>
          </w:tcPr>
          <w:p w14:paraId="0E9D9F1E">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098F15DE">
            <w:pPr>
              <w:keepNext w:val="0"/>
              <w:keepLines w:val="0"/>
              <w:suppressLineNumbers w:val="0"/>
              <w:shd w:val="clear" w:color="auto" w:fill="auto"/>
              <w:autoSpaceDE w:val="0"/>
              <w:autoSpaceDN w:val="0"/>
              <w:spacing w:before="0" w:beforeAutospacing="0" w:after="0" w:afterAutospacing="0" w:line="400" w:lineRule="exact"/>
              <w:ind w:left="317" w:right="0" w:hanging="316" w:hangingChars="132"/>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106E8B3F">
            <w:pPr>
              <w:keepNext w:val="0"/>
              <w:keepLines w:val="0"/>
              <w:suppressLineNumbers w:val="0"/>
              <w:shd w:val="clear" w:color="auto" w:fill="auto"/>
              <w:autoSpaceDE w:val="0"/>
              <w:autoSpaceDN w:val="0"/>
              <w:spacing w:before="0" w:beforeAutospacing="0" w:after="0" w:afterAutospacing="0" w:line="400" w:lineRule="exact"/>
              <w:ind w:left="317" w:right="0" w:hanging="316" w:hangingChars="132"/>
              <w:jc w:val="center"/>
              <w:rPr>
                <w:rFonts w:hint="eastAsia" w:hAnsi="宋体" w:cs="宋体"/>
                <w:color w:val="auto"/>
                <w:sz w:val="24"/>
                <w:szCs w:val="20"/>
                <w:highlight w:val="none"/>
              </w:rPr>
            </w:pPr>
          </w:p>
        </w:tc>
      </w:tr>
      <w:tr w14:paraId="1CFD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226B944F">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2</w:t>
            </w:r>
          </w:p>
        </w:tc>
        <w:tc>
          <w:tcPr>
            <w:tcW w:w="2367" w:type="dxa"/>
            <w:tcBorders>
              <w:top w:val="single" w:color="auto" w:sz="4" w:space="0"/>
              <w:left w:val="nil"/>
              <w:bottom w:val="single" w:color="auto" w:sz="4" w:space="0"/>
              <w:right w:val="single" w:color="auto" w:sz="4" w:space="0"/>
            </w:tcBorders>
            <w:noWrap w:val="0"/>
            <w:vAlign w:val="center"/>
          </w:tcPr>
          <w:p w14:paraId="1378638C">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05C7BF71">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4CFE0DEB">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r>
      <w:tr w14:paraId="5F50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60381B2E">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3</w:t>
            </w:r>
          </w:p>
        </w:tc>
        <w:tc>
          <w:tcPr>
            <w:tcW w:w="2367" w:type="dxa"/>
            <w:tcBorders>
              <w:top w:val="single" w:color="auto" w:sz="4" w:space="0"/>
              <w:left w:val="nil"/>
              <w:bottom w:val="single" w:color="auto" w:sz="4" w:space="0"/>
              <w:right w:val="single" w:color="auto" w:sz="4" w:space="0"/>
            </w:tcBorders>
            <w:noWrap w:val="0"/>
            <w:vAlign w:val="center"/>
          </w:tcPr>
          <w:p w14:paraId="792B7366">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23DFC622">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6C7194D1">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r>
      <w:tr w14:paraId="6B3A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14:paraId="62E9FA36">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w:t>
            </w:r>
          </w:p>
        </w:tc>
        <w:tc>
          <w:tcPr>
            <w:tcW w:w="2367" w:type="dxa"/>
            <w:tcBorders>
              <w:top w:val="single" w:color="auto" w:sz="4" w:space="0"/>
              <w:left w:val="nil"/>
              <w:bottom w:val="single" w:color="auto" w:sz="4" w:space="0"/>
              <w:right w:val="single" w:color="auto" w:sz="4" w:space="0"/>
            </w:tcBorders>
            <w:noWrap w:val="0"/>
            <w:vAlign w:val="center"/>
          </w:tcPr>
          <w:p w14:paraId="7F8577CF">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8" w:type="dxa"/>
            <w:tcBorders>
              <w:top w:val="single" w:color="auto" w:sz="4" w:space="0"/>
              <w:left w:val="nil"/>
              <w:bottom w:val="single" w:color="auto" w:sz="4" w:space="0"/>
              <w:right w:val="single" w:color="auto" w:sz="4" w:space="0"/>
            </w:tcBorders>
            <w:noWrap w:val="0"/>
            <w:vAlign w:val="center"/>
          </w:tcPr>
          <w:p w14:paraId="07A655CE">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c>
          <w:tcPr>
            <w:tcW w:w="2807" w:type="dxa"/>
            <w:tcBorders>
              <w:top w:val="single" w:color="auto" w:sz="4" w:space="0"/>
              <w:left w:val="nil"/>
              <w:bottom w:val="single" w:color="auto" w:sz="4" w:space="0"/>
              <w:right w:val="single" w:color="auto" w:sz="4" w:space="0"/>
            </w:tcBorders>
            <w:noWrap w:val="0"/>
            <w:vAlign w:val="center"/>
          </w:tcPr>
          <w:p w14:paraId="6365FEE6">
            <w:pPr>
              <w:keepNext w:val="0"/>
              <w:keepLines w:val="0"/>
              <w:suppressLineNumbers w:val="0"/>
              <w:shd w:val="clear" w:color="auto" w:fill="auto"/>
              <w:autoSpaceDE w:val="0"/>
              <w:autoSpaceDN w:val="0"/>
              <w:spacing w:before="0" w:beforeAutospacing="0" w:after="0" w:afterAutospacing="0" w:line="400" w:lineRule="exact"/>
              <w:ind w:left="0" w:right="0"/>
              <w:jc w:val="center"/>
              <w:rPr>
                <w:rFonts w:hint="eastAsia" w:hAnsi="宋体" w:cs="宋体"/>
                <w:color w:val="auto"/>
                <w:sz w:val="24"/>
                <w:szCs w:val="20"/>
                <w:highlight w:val="none"/>
              </w:rPr>
            </w:pPr>
          </w:p>
        </w:tc>
      </w:tr>
    </w:tbl>
    <w:p w14:paraId="2B63DC50">
      <w:pPr>
        <w:shd w:val="clear" w:color="auto" w:fill="auto"/>
        <w:spacing w:line="400" w:lineRule="exact"/>
        <w:ind w:left="676" w:leftChars="57" w:hanging="482" w:hangingChars="200"/>
        <w:rPr>
          <w:rFonts w:hint="eastAsia" w:hAnsi="宋体" w:cs="宋体"/>
          <w:b/>
          <w:bCs/>
          <w:color w:val="auto"/>
          <w:sz w:val="24"/>
          <w:highlight w:val="none"/>
        </w:rPr>
      </w:pPr>
    </w:p>
    <w:p w14:paraId="50231CE8">
      <w:pPr>
        <w:shd w:val="clear" w:color="auto" w:fill="auto"/>
        <w:spacing w:line="400" w:lineRule="exact"/>
        <w:ind w:left="676" w:leftChars="57" w:hanging="482" w:hangingChars="200"/>
        <w:rPr>
          <w:rFonts w:hint="eastAsia" w:hAnsi="宋体" w:cs="宋体"/>
          <w:b/>
          <w:bCs/>
          <w:color w:val="auto"/>
          <w:sz w:val="24"/>
          <w:highlight w:val="none"/>
        </w:rPr>
      </w:pPr>
      <w:r>
        <w:rPr>
          <w:rFonts w:hint="eastAsia" w:hAnsi="宋体" w:cs="宋体"/>
          <w:b/>
          <w:bCs/>
          <w:color w:val="auto"/>
          <w:sz w:val="24"/>
          <w:highlight w:val="none"/>
        </w:rPr>
        <w:t>注：1.本表只填写响应文件中与磋商文件有偏离（包括正偏离和负偏离）的内容，响应文件中商务响应与磋商文件要求完全一致的，不用在此表中列出,但此表格式须留存。</w:t>
      </w:r>
    </w:p>
    <w:p w14:paraId="4A5AEFC6">
      <w:pPr>
        <w:shd w:val="clear" w:color="auto" w:fill="auto"/>
        <w:spacing w:line="400" w:lineRule="exact"/>
        <w:ind w:left="0" w:leftChars="0" w:firstLine="723" w:firstLineChars="300"/>
        <w:rPr>
          <w:rFonts w:hint="eastAsia" w:hAnsi="宋体" w:cs="宋体"/>
          <w:b/>
          <w:bCs/>
          <w:color w:val="auto"/>
          <w:sz w:val="24"/>
          <w:highlight w:val="none"/>
        </w:rPr>
      </w:pPr>
      <w:r>
        <w:rPr>
          <w:rFonts w:hint="eastAsia" w:hAnsi="宋体" w:cs="宋体"/>
          <w:b/>
          <w:bCs/>
          <w:color w:val="auto"/>
          <w:sz w:val="24"/>
          <w:highlight w:val="none"/>
        </w:rPr>
        <w:t>2．供应商必须据实填写，不得虚假响应，否则将取消其投标或中标资格。</w:t>
      </w:r>
    </w:p>
    <w:p w14:paraId="44218DB2">
      <w:pPr>
        <w:shd w:val="clear" w:color="auto" w:fill="auto"/>
        <w:spacing w:line="360" w:lineRule="auto"/>
        <w:rPr>
          <w:rFonts w:hint="eastAsia" w:hAnsi="宋体" w:cs="宋体"/>
          <w:b/>
          <w:bCs/>
          <w:color w:val="auto"/>
          <w:sz w:val="24"/>
          <w:highlight w:val="none"/>
        </w:rPr>
      </w:pPr>
    </w:p>
    <w:p w14:paraId="332E85DA">
      <w:pPr>
        <w:shd w:val="clear" w:color="auto" w:fill="auto"/>
        <w:adjustRightInd w:val="0"/>
        <w:spacing w:line="400" w:lineRule="exact"/>
        <w:ind w:firstLine="480" w:firstLineChars="200"/>
        <w:jc w:val="left"/>
        <w:rPr>
          <w:rFonts w:hint="eastAsia" w:hAnsi="宋体" w:cs="宋体"/>
          <w:color w:val="auto"/>
          <w:sz w:val="24"/>
          <w:highlight w:val="none"/>
        </w:rPr>
      </w:pPr>
    </w:p>
    <w:p w14:paraId="4739DEE7">
      <w:pPr>
        <w:shd w:val="clear" w:color="auto" w:fill="auto"/>
        <w:adjustRightInd w:val="0"/>
        <w:spacing w:line="400" w:lineRule="exact"/>
        <w:ind w:firstLine="480" w:firstLineChars="200"/>
        <w:jc w:val="left"/>
        <w:rPr>
          <w:rFonts w:hint="eastAsia" w:hAnsi="宋体" w:cs="宋体"/>
          <w:color w:val="auto"/>
          <w:sz w:val="24"/>
          <w:highlight w:val="none"/>
        </w:rPr>
      </w:pPr>
      <w:r>
        <w:rPr>
          <w:rFonts w:hint="eastAsia" w:hAnsi="宋体" w:cs="宋体"/>
          <w:color w:val="auto"/>
          <w:sz w:val="24"/>
          <w:highlight w:val="none"/>
        </w:rPr>
        <w:t>供应商人名称：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3F220098">
      <w:pPr>
        <w:shd w:val="clear" w:color="auto" w:fill="auto"/>
        <w:adjustRightInd w:val="0"/>
        <w:spacing w:line="400" w:lineRule="exact"/>
        <w:ind w:firstLine="540" w:firstLineChars="225"/>
        <w:jc w:val="left"/>
        <w:rPr>
          <w:rFonts w:hint="eastAsia" w:hAnsi="宋体" w:cs="宋体"/>
          <w:bCs/>
          <w:color w:val="auto"/>
          <w:sz w:val="24"/>
          <w:highlight w:val="none"/>
        </w:rPr>
      </w:pPr>
      <w:r>
        <w:rPr>
          <w:rFonts w:hint="eastAsia" w:hAnsi="宋体" w:cs="宋体"/>
          <w:bCs/>
          <w:color w:val="auto"/>
          <w:sz w:val="24"/>
          <w:highlight w:val="none"/>
        </w:rPr>
        <w:t>法定代表人或授权代表（签字或盖章）：</w:t>
      </w:r>
    </w:p>
    <w:p w14:paraId="2CA9E948">
      <w:pPr>
        <w:shd w:val="clear" w:color="auto" w:fill="auto"/>
        <w:adjustRightInd w:val="0"/>
        <w:spacing w:line="400" w:lineRule="exact"/>
        <w:ind w:firstLine="540" w:firstLineChars="225"/>
        <w:jc w:val="left"/>
        <w:rPr>
          <w:rFonts w:hint="eastAsia" w:hAnsi="宋体" w:cs="宋体"/>
          <w:bCs/>
          <w:color w:val="auto"/>
          <w:sz w:val="24"/>
          <w:highlight w:val="none"/>
        </w:rPr>
      </w:pPr>
      <w:r>
        <w:rPr>
          <w:rFonts w:hint="eastAsia" w:hAnsi="宋体" w:cs="宋体"/>
          <w:bCs/>
          <w:color w:val="auto"/>
          <w:sz w:val="24"/>
          <w:highlight w:val="none"/>
        </w:rPr>
        <w:t>日  期：   年   月  日</w:t>
      </w:r>
    </w:p>
    <w:p w14:paraId="6F8B123A">
      <w:pPr>
        <w:shd w:val="clear" w:color="auto" w:fill="auto"/>
        <w:outlineLvl w:val="1"/>
        <w:rPr>
          <w:rFonts w:hint="eastAsia" w:hAnsi="宋体" w:cs="宋体"/>
          <w:b/>
          <w:bCs/>
          <w:color w:val="auto"/>
          <w:sz w:val="32"/>
          <w:szCs w:val="32"/>
          <w:highlight w:val="none"/>
        </w:rPr>
      </w:pPr>
      <w:bookmarkStart w:id="529" w:name="_Toc2016"/>
      <w:bookmarkStart w:id="530" w:name="_Toc683"/>
      <w:bookmarkStart w:id="531" w:name="_Toc32032"/>
      <w:bookmarkStart w:id="532" w:name="_Toc23642"/>
      <w:bookmarkStart w:id="533" w:name="_Toc22070"/>
      <w:bookmarkStart w:id="534" w:name="_Toc18463"/>
      <w:bookmarkStart w:id="535" w:name="_Toc26406"/>
      <w:bookmarkStart w:id="536" w:name="_Toc14631"/>
      <w:bookmarkStart w:id="537" w:name="_Toc31217"/>
      <w:bookmarkStart w:id="538" w:name="_Toc30858"/>
      <w:bookmarkStart w:id="539" w:name="_Toc17585"/>
      <w:bookmarkStart w:id="540" w:name="_Toc4560"/>
      <w:r>
        <w:rPr>
          <w:rFonts w:hint="eastAsia" w:hAnsi="宋体" w:cs="宋体"/>
          <w:b/>
          <w:bCs/>
          <w:color w:val="auto"/>
          <w:sz w:val="28"/>
          <w:szCs w:val="28"/>
          <w:highlight w:val="none"/>
        </w:rPr>
        <w:br w:type="page"/>
      </w:r>
      <w:bookmarkStart w:id="541" w:name="_Toc8577"/>
      <w:bookmarkStart w:id="542" w:name="_Toc6147"/>
      <w:r>
        <w:rPr>
          <w:rFonts w:hint="eastAsia" w:hAnsi="宋体" w:cs="宋体"/>
          <w:b/>
          <w:bCs/>
          <w:color w:val="auto"/>
          <w:sz w:val="28"/>
          <w:szCs w:val="28"/>
          <w:highlight w:val="none"/>
        </w:rPr>
        <w:t>格式2-6 供应商基本情况表</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bookmarkEnd w:id="403"/>
    <w:p w14:paraId="0B2FCC1A">
      <w:pPr>
        <w:shd w:val="clear" w:color="auto" w:fill="auto"/>
        <w:rPr>
          <w:rFonts w:hint="eastAsia" w:hAnsi="宋体" w:cs="宋体"/>
          <w:b/>
          <w:bCs/>
          <w:color w:val="auto"/>
          <w:sz w:val="32"/>
          <w:szCs w:val="32"/>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27C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4F72DEC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供应商名称</w:t>
            </w:r>
          </w:p>
        </w:tc>
        <w:tc>
          <w:tcPr>
            <w:tcW w:w="7560" w:type="dxa"/>
            <w:gridSpan w:val="11"/>
            <w:noWrap w:val="0"/>
            <w:vAlign w:val="center"/>
          </w:tcPr>
          <w:p w14:paraId="4D76BF8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4A3C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02790ED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注册地址</w:t>
            </w:r>
          </w:p>
        </w:tc>
        <w:tc>
          <w:tcPr>
            <w:tcW w:w="4680" w:type="dxa"/>
            <w:gridSpan w:val="6"/>
            <w:noWrap w:val="0"/>
            <w:vAlign w:val="center"/>
          </w:tcPr>
          <w:p w14:paraId="0F9093F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4ADD596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邮政编码</w:t>
            </w:r>
          </w:p>
        </w:tc>
        <w:tc>
          <w:tcPr>
            <w:tcW w:w="1620" w:type="dxa"/>
            <w:gridSpan w:val="2"/>
            <w:noWrap w:val="0"/>
            <w:vAlign w:val="center"/>
          </w:tcPr>
          <w:p w14:paraId="3F2C3739">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7C5A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7F6591C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联系方式</w:t>
            </w:r>
          </w:p>
        </w:tc>
        <w:tc>
          <w:tcPr>
            <w:tcW w:w="1080" w:type="dxa"/>
            <w:noWrap w:val="0"/>
            <w:vAlign w:val="center"/>
          </w:tcPr>
          <w:p w14:paraId="375D4CC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联系人</w:t>
            </w:r>
          </w:p>
        </w:tc>
        <w:tc>
          <w:tcPr>
            <w:tcW w:w="3600" w:type="dxa"/>
            <w:gridSpan w:val="5"/>
            <w:noWrap w:val="0"/>
            <w:vAlign w:val="center"/>
          </w:tcPr>
          <w:p w14:paraId="4E2CC65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7FFF704E">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联系电话</w:t>
            </w:r>
          </w:p>
        </w:tc>
        <w:tc>
          <w:tcPr>
            <w:tcW w:w="1620" w:type="dxa"/>
            <w:gridSpan w:val="2"/>
            <w:noWrap w:val="0"/>
            <w:vAlign w:val="center"/>
          </w:tcPr>
          <w:p w14:paraId="42E84D1C">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503D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1BDDD41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080" w:type="dxa"/>
            <w:noWrap w:val="0"/>
            <w:vAlign w:val="center"/>
          </w:tcPr>
          <w:p w14:paraId="4BC1CA6E">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传真</w:t>
            </w:r>
          </w:p>
        </w:tc>
        <w:tc>
          <w:tcPr>
            <w:tcW w:w="3600" w:type="dxa"/>
            <w:gridSpan w:val="5"/>
            <w:noWrap w:val="0"/>
            <w:vAlign w:val="center"/>
          </w:tcPr>
          <w:p w14:paraId="4F015F3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2FAB6117">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网址</w:t>
            </w:r>
          </w:p>
        </w:tc>
        <w:tc>
          <w:tcPr>
            <w:tcW w:w="1620" w:type="dxa"/>
            <w:gridSpan w:val="2"/>
            <w:noWrap w:val="0"/>
            <w:vAlign w:val="center"/>
          </w:tcPr>
          <w:p w14:paraId="42486CC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4FB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64CCF04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组织结构</w:t>
            </w:r>
          </w:p>
        </w:tc>
        <w:tc>
          <w:tcPr>
            <w:tcW w:w="7560" w:type="dxa"/>
            <w:gridSpan w:val="11"/>
            <w:noWrap w:val="0"/>
            <w:vAlign w:val="center"/>
          </w:tcPr>
          <w:p w14:paraId="584FA4EA">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3C74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6E01E4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法定代表人</w:t>
            </w:r>
          </w:p>
        </w:tc>
        <w:tc>
          <w:tcPr>
            <w:tcW w:w="1260" w:type="dxa"/>
            <w:gridSpan w:val="2"/>
            <w:noWrap w:val="0"/>
            <w:vAlign w:val="center"/>
          </w:tcPr>
          <w:p w14:paraId="42DDEED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姓名</w:t>
            </w:r>
          </w:p>
        </w:tc>
        <w:tc>
          <w:tcPr>
            <w:tcW w:w="1260" w:type="dxa"/>
            <w:noWrap w:val="0"/>
            <w:vAlign w:val="center"/>
          </w:tcPr>
          <w:p w14:paraId="0EED463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noWrap w:val="0"/>
            <w:vAlign w:val="center"/>
          </w:tcPr>
          <w:p w14:paraId="027FDE4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技术职称</w:t>
            </w:r>
          </w:p>
        </w:tc>
        <w:tc>
          <w:tcPr>
            <w:tcW w:w="1260" w:type="dxa"/>
            <w:gridSpan w:val="3"/>
            <w:noWrap w:val="0"/>
            <w:vAlign w:val="center"/>
          </w:tcPr>
          <w:p w14:paraId="52E4C19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6571C13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联系电话</w:t>
            </w:r>
          </w:p>
        </w:tc>
        <w:tc>
          <w:tcPr>
            <w:tcW w:w="1260" w:type="dxa"/>
            <w:noWrap w:val="0"/>
            <w:vAlign w:val="center"/>
          </w:tcPr>
          <w:p w14:paraId="7841BA2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321E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595D5D1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技术负责人</w:t>
            </w:r>
          </w:p>
        </w:tc>
        <w:tc>
          <w:tcPr>
            <w:tcW w:w="1260" w:type="dxa"/>
            <w:gridSpan w:val="2"/>
            <w:noWrap w:val="0"/>
            <w:vAlign w:val="center"/>
          </w:tcPr>
          <w:p w14:paraId="49D7FEEC">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姓名</w:t>
            </w:r>
          </w:p>
        </w:tc>
        <w:tc>
          <w:tcPr>
            <w:tcW w:w="1260" w:type="dxa"/>
            <w:noWrap w:val="0"/>
            <w:vAlign w:val="center"/>
          </w:tcPr>
          <w:p w14:paraId="4158DD5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noWrap w:val="0"/>
            <w:vAlign w:val="center"/>
          </w:tcPr>
          <w:p w14:paraId="1D9133C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技术职称</w:t>
            </w:r>
          </w:p>
        </w:tc>
        <w:tc>
          <w:tcPr>
            <w:tcW w:w="1260" w:type="dxa"/>
            <w:gridSpan w:val="3"/>
            <w:noWrap w:val="0"/>
            <w:vAlign w:val="center"/>
          </w:tcPr>
          <w:p w14:paraId="67325EC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260" w:type="dxa"/>
            <w:gridSpan w:val="3"/>
            <w:noWrap w:val="0"/>
            <w:vAlign w:val="center"/>
          </w:tcPr>
          <w:p w14:paraId="22649A8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联系电话</w:t>
            </w:r>
          </w:p>
        </w:tc>
        <w:tc>
          <w:tcPr>
            <w:tcW w:w="1260" w:type="dxa"/>
            <w:noWrap w:val="0"/>
            <w:vAlign w:val="center"/>
          </w:tcPr>
          <w:p w14:paraId="16B07859">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0D41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2BE8141F">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成立时间</w:t>
            </w:r>
          </w:p>
        </w:tc>
        <w:tc>
          <w:tcPr>
            <w:tcW w:w="2520" w:type="dxa"/>
            <w:gridSpan w:val="3"/>
            <w:noWrap w:val="0"/>
            <w:vAlign w:val="center"/>
          </w:tcPr>
          <w:p w14:paraId="1B1487E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5040" w:type="dxa"/>
            <w:gridSpan w:val="8"/>
            <w:noWrap w:val="0"/>
            <w:vAlign w:val="center"/>
          </w:tcPr>
          <w:p w14:paraId="1B3D36AE">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员工总人数：</w:t>
            </w:r>
          </w:p>
        </w:tc>
      </w:tr>
      <w:tr w14:paraId="3D3E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5C8F51B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企业资质等级</w:t>
            </w:r>
          </w:p>
        </w:tc>
        <w:tc>
          <w:tcPr>
            <w:tcW w:w="2520" w:type="dxa"/>
            <w:gridSpan w:val="3"/>
            <w:noWrap w:val="0"/>
            <w:vAlign w:val="center"/>
          </w:tcPr>
          <w:p w14:paraId="39DAEF3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restart"/>
            <w:noWrap w:val="0"/>
            <w:vAlign w:val="center"/>
          </w:tcPr>
          <w:p w14:paraId="3C59E40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其中</w:t>
            </w:r>
          </w:p>
        </w:tc>
        <w:tc>
          <w:tcPr>
            <w:tcW w:w="1680" w:type="dxa"/>
            <w:gridSpan w:val="3"/>
            <w:noWrap w:val="0"/>
            <w:vAlign w:val="center"/>
          </w:tcPr>
          <w:p w14:paraId="71CF31F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项目经理</w:t>
            </w:r>
          </w:p>
        </w:tc>
        <w:tc>
          <w:tcPr>
            <w:tcW w:w="1680" w:type="dxa"/>
            <w:gridSpan w:val="3"/>
            <w:noWrap w:val="0"/>
            <w:vAlign w:val="center"/>
          </w:tcPr>
          <w:p w14:paraId="451DBFC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309C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2A87B07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营业执照</w:t>
            </w:r>
            <w:r>
              <w:rPr>
                <w:rFonts w:hint="eastAsia" w:hAnsi="宋体" w:cs="宋体"/>
                <w:color w:val="auto"/>
                <w:sz w:val="24"/>
                <w:szCs w:val="20"/>
                <w:highlight w:val="none"/>
              </w:rPr>
              <w:t>号</w:t>
            </w:r>
          </w:p>
        </w:tc>
        <w:tc>
          <w:tcPr>
            <w:tcW w:w="2520" w:type="dxa"/>
            <w:gridSpan w:val="3"/>
            <w:noWrap w:val="0"/>
            <w:vAlign w:val="center"/>
          </w:tcPr>
          <w:p w14:paraId="3BA29EF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711A9C40">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01A1001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高级职称人员</w:t>
            </w:r>
          </w:p>
        </w:tc>
        <w:tc>
          <w:tcPr>
            <w:tcW w:w="1680" w:type="dxa"/>
            <w:gridSpan w:val="3"/>
            <w:noWrap w:val="0"/>
            <w:vAlign w:val="center"/>
          </w:tcPr>
          <w:p w14:paraId="34361D2A">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0270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3F53A3C1">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注册资金</w:t>
            </w:r>
          </w:p>
        </w:tc>
        <w:tc>
          <w:tcPr>
            <w:tcW w:w="2520" w:type="dxa"/>
            <w:gridSpan w:val="3"/>
            <w:noWrap w:val="0"/>
            <w:vAlign w:val="center"/>
          </w:tcPr>
          <w:p w14:paraId="6E8C4C1A">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011F9E53">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0C04C23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中级职称人员</w:t>
            </w:r>
          </w:p>
        </w:tc>
        <w:tc>
          <w:tcPr>
            <w:tcW w:w="1680" w:type="dxa"/>
            <w:gridSpan w:val="3"/>
            <w:noWrap w:val="0"/>
            <w:vAlign w:val="center"/>
          </w:tcPr>
          <w:p w14:paraId="3AF83A0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0A6A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63803F5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开户银行</w:t>
            </w:r>
          </w:p>
        </w:tc>
        <w:tc>
          <w:tcPr>
            <w:tcW w:w="2520" w:type="dxa"/>
            <w:gridSpan w:val="3"/>
            <w:noWrap w:val="0"/>
            <w:vAlign w:val="center"/>
          </w:tcPr>
          <w:p w14:paraId="5996B03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7D660774">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751B445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初级职称人员</w:t>
            </w:r>
          </w:p>
        </w:tc>
        <w:tc>
          <w:tcPr>
            <w:tcW w:w="1680" w:type="dxa"/>
            <w:gridSpan w:val="3"/>
            <w:noWrap w:val="0"/>
            <w:vAlign w:val="center"/>
          </w:tcPr>
          <w:p w14:paraId="0A99D739">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2AD8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65185BB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账号</w:t>
            </w:r>
          </w:p>
        </w:tc>
        <w:tc>
          <w:tcPr>
            <w:tcW w:w="2520" w:type="dxa"/>
            <w:gridSpan w:val="3"/>
            <w:noWrap w:val="0"/>
            <w:vAlign w:val="center"/>
          </w:tcPr>
          <w:p w14:paraId="4BE089D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2"/>
            <w:vMerge w:val="continue"/>
            <w:noWrap w:val="0"/>
            <w:vAlign w:val="center"/>
          </w:tcPr>
          <w:p w14:paraId="724229C5">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c>
          <w:tcPr>
            <w:tcW w:w="1680" w:type="dxa"/>
            <w:gridSpan w:val="3"/>
            <w:noWrap w:val="0"/>
            <w:vAlign w:val="center"/>
          </w:tcPr>
          <w:p w14:paraId="589371C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技工</w:t>
            </w:r>
          </w:p>
        </w:tc>
        <w:tc>
          <w:tcPr>
            <w:tcW w:w="1680" w:type="dxa"/>
            <w:gridSpan w:val="3"/>
            <w:noWrap w:val="0"/>
            <w:vAlign w:val="center"/>
          </w:tcPr>
          <w:p w14:paraId="6782404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5B58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31423F52">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经营范围</w:t>
            </w:r>
          </w:p>
        </w:tc>
        <w:tc>
          <w:tcPr>
            <w:tcW w:w="7560" w:type="dxa"/>
            <w:gridSpan w:val="11"/>
            <w:noWrap w:val="0"/>
            <w:vAlign w:val="center"/>
          </w:tcPr>
          <w:p w14:paraId="6B6CFBDD">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r w14:paraId="7E98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6F0BFEC6">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r>
              <w:rPr>
                <w:rFonts w:hint="eastAsia" w:hAnsi="宋体" w:cs="宋体"/>
                <w:bCs/>
                <w:color w:val="auto"/>
                <w:sz w:val="24"/>
                <w:szCs w:val="20"/>
                <w:highlight w:val="none"/>
              </w:rPr>
              <w:t>备注</w:t>
            </w:r>
          </w:p>
        </w:tc>
        <w:tc>
          <w:tcPr>
            <w:tcW w:w="7560" w:type="dxa"/>
            <w:gridSpan w:val="11"/>
            <w:noWrap w:val="0"/>
            <w:vAlign w:val="center"/>
          </w:tcPr>
          <w:p w14:paraId="7B8DBA7B">
            <w:pPr>
              <w:keepNext w:val="0"/>
              <w:keepLines w:val="0"/>
              <w:suppressLineNumbers w:val="0"/>
              <w:shd w:val="clear" w:color="auto" w:fill="auto"/>
              <w:spacing w:before="0" w:beforeAutospacing="0" w:after="0" w:afterAutospacing="0"/>
              <w:ind w:left="0" w:right="0"/>
              <w:jc w:val="center"/>
              <w:rPr>
                <w:rFonts w:hint="eastAsia" w:hAnsi="宋体" w:cs="宋体"/>
                <w:bCs/>
                <w:color w:val="auto"/>
                <w:sz w:val="24"/>
                <w:szCs w:val="20"/>
                <w:highlight w:val="none"/>
              </w:rPr>
            </w:pPr>
          </w:p>
        </w:tc>
      </w:tr>
    </w:tbl>
    <w:p w14:paraId="0FE517D6">
      <w:pPr>
        <w:shd w:val="clear" w:color="auto" w:fill="auto"/>
        <w:adjustRightInd w:val="0"/>
        <w:spacing w:line="400" w:lineRule="exact"/>
        <w:jc w:val="left"/>
        <w:rPr>
          <w:rFonts w:hint="eastAsia" w:hAnsi="宋体" w:cs="宋体"/>
          <w:color w:val="auto"/>
          <w:sz w:val="24"/>
          <w:highlight w:val="none"/>
        </w:rPr>
      </w:pPr>
    </w:p>
    <w:p w14:paraId="52A875CA">
      <w:pPr>
        <w:shd w:val="clear" w:color="auto" w:fill="auto"/>
        <w:adjustRightInd w:val="0"/>
        <w:spacing w:line="400" w:lineRule="exact"/>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541DAF29">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27C74826">
      <w:pPr>
        <w:shd w:val="clear" w:color="auto" w:fill="auto"/>
        <w:adjustRightInd w:val="0"/>
        <w:spacing w:line="400" w:lineRule="exact"/>
        <w:jc w:val="left"/>
        <w:rPr>
          <w:rFonts w:hint="eastAsia" w:hAnsi="宋体" w:cs="宋体"/>
          <w:bCs/>
          <w:color w:val="auto"/>
          <w:sz w:val="24"/>
          <w:highlight w:val="none"/>
        </w:rPr>
      </w:pPr>
      <w:r>
        <w:rPr>
          <w:rFonts w:hint="eastAsia" w:hAnsi="宋体" w:cs="宋体"/>
          <w:bCs/>
          <w:color w:val="auto"/>
          <w:sz w:val="24"/>
          <w:highlight w:val="none"/>
        </w:rPr>
        <w:t>日  期：   年 月 日</w:t>
      </w:r>
    </w:p>
    <w:p w14:paraId="368681F1">
      <w:pPr>
        <w:shd w:val="clear" w:color="auto" w:fill="auto"/>
        <w:spacing w:line="400" w:lineRule="exact"/>
        <w:rPr>
          <w:rFonts w:hint="eastAsia" w:hAnsi="宋体" w:cs="宋体"/>
          <w:b/>
          <w:color w:val="auto"/>
          <w:sz w:val="28"/>
          <w:szCs w:val="28"/>
          <w:highlight w:val="none"/>
        </w:rPr>
      </w:pPr>
    </w:p>
    <w:p w14:paraId="0A29B72E">
      <w:pPr>
        <w:pStyle w:val="13"/>
        <w:numPr>
          <w:ilvl w:val="0"/>
          <w:numId w:val="0"/>
        </w:numPr>
        <w:shd w:val="clear" w:color="auto" w:fill="auto"/>
        <w:rPr>
          <w:rFonts w:hint="eastAsia" w:ascii="宋体" w:hAnsi="宋体" w:eastAsia="宋体" w:cs="宋体"/>
          <w:b/>
          <w:color w:val="auto"/>
          <w:sz w:val="28"/>
          <w:szCs w:val="28"/>
          <w:highlight w:val="none"/>
        </w:rPr>
      </w:pPr>
    </w:p>
    <w:p w14:paraId="299233A1">
      <w:pPr>
        <w:pStyle w:val="13"/>
        <w:numPr>
          <w:ilvl w:val="0"/>
          <w:numId w:val="0"/>
        </w:numPr>
        <w:shd w:val="clear" w:color="auto" w:fill="auto"/>
        <w:rPr>
          <w:rFonts w:hint="eastAsia" w:ascii="宋体" w:hAnsi="宋体" w:eastAsia="宋体" w:cs="宋体"/>
          <w:b/>
          <w:color w:val="auto"/>
          <w:sz w:val="28"/>
          <w:szCs w:val="28"/>
          <w:highlight w:val="none"/>
        </w:rPr>
      </w:pPr>
    </w:p>
    <w:p w14:paraId="61579278">
      <w:pPr>
        <w:pStyle w:val="13"/>
        <w:numPr>
          <w:ilvl w:val="0"/>
          <w:numId w:val="0"/>
        </w:numPr>
        <w:shd w:val="clear" w:color="auto" w:fill="auto"/>
        <w:rPr>
          <w:rFonts w:hint="eastAsia" w:ascii="宋体" w:hAnsi="宋体" w:eastAsia="宋体" w:cs="宋体"/>
          <w:b/>
          <w:color w:val="auto"/>
          <w:sz w:val="28"/>
          <w:szCs w:val="28"/>
          <w:highlight w:val="none"/>
        </w:rPr>
      </w:pPr>
    </w:p>
    <w:p w14:paraId="10FFA66C">
      <w:pPr>
        <w:pStyle w:val="13"/>
        <w:numPr>
          <w:ilvl w:val="0"/>
          <w:numId w:val="0"/>
        </w:numPr>
        <w:shd w:val="clear" w:color="auto" w:fill="auto"/>
        <w:rPr>
          <w:rFonts w:hint="eastAsia" w:ascii="宋体" w:hAnsi="宋体" w:eastAsia="宋体" w:cs="宋体"/>
          <w:color w:val="auto"/>
          <w:highlight w:val="none"/>
        </w:rPr>
      </w:pPr>
    </w:p>
    <w:p w14:paraId="252469B0">
      <w:pPr>
        <w:shd w:val="clear" w:color="auto" w:fill="auto"/>
        <w:spacing w:line="480" w:lineRule="auto"/>
        <w:outlineLvl w:val="1"/>
        <w:rPr>
          <w:rFonts w:hint="eastAsia" w:hAnsi="宋体" w:cs="宋体"/>
          <w:b/>
          <w:bCs/>
          <w:color w:val="auto"/>
          <w:sz w:val="28"/>
          <w:szCs w:val="28"/>
          <w:highlight w:val="none"/>
        </w:rPr>
      </w:pPr>
      <w:bookmarkStart w:id="543" w:name="_Toc4386"/>
      <w:bookmarkStart w:id="544" w:name="_Toc7743"/>
      <w:bookmarkStart w:id="545" w:name="_Toc3086"/>
      <w:bookmarkStart w:id="546" w:name="_Toc15480"/>
      <w:bookmarkStart w:id="547" w:name="_Toc13722"/>
      <w:bookmarkStart w:id="548" w:name="_Toc3009"/>
      <w:bookmarkStart w:id="549" w:name="_Toc4719"/>
      <w:bookmarkStart w:id="550" w:name="_Toc27258"/>
      <w:bookmarkStart w:id="551" w:name="_Toc1037"/>
      <w:bookmarkStart w:id="552" w:name="_Toc23939"/>
      <w:bookmarkStart w:id="553" w:name="_Toc12542"/>
      <w:bookmarkStart w:id="554" w:name="_Toc14922"/>
      <w:bookmarkStart w:id="555" w:name="_Toc7189"/>
      <w:bookmarkStart w:id="556" w:name="_Toc14379"/>
      <w:bookmarkStart w:id="557" w:name="_Toc7708"/>
      <w:bookmarkStart w:id="558" w:name="_Toc1853"/>
      <w:bookmarkStart w:id="559" w:name="_Toc14511"/>
      <w:bookmarkStart w:id="560" w:name="_Toc18"/>
      <w:bookmarkStart w:id="561" w:name="_Toc31104"/>
      <w:bookmarkStart w:id="562" w:name="_Toc217446089"/>
      <w:bookmarkStart w:id="563" w:name="_Toc14134"/>
      <w:bookmarkStart w:id="564" w:name="_Toc5354"/>
      <w:bookmarkStart w:id="565" w:name="_Toc22722"/>
      <w:bookmarkStart w:id="566" w:name="_Toc21862"/>
      <w:bookmarkStart w:id="567" w:name="_Toc20636"/>
      <w:r>
        <w:rPr>
          <w:rFonts w:hint="eastAsia" w:hAnsi="宋体" w:cs="宋体"/>
          <w:b/>
          <w:bCs/>
          <w:color w:val="auto"/>
          <w:sz w:val="28"/>
          <w:szCs w:val="28"/>
          <w:highlight w:val="none"/>
        </w:rPr>
        <w:t>格式2-7  供应商类似项目业绩一览表</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bookmarkEnd w:id="559"/>
    <w:bookmarkEnd w:id="560"/>
    <w:bookmarkEnd w:id="561"/>
    <w:bookmarkEnd w:id="562"/>
    <w:bookmarkEnd w:id="563"/>
    <w:bookmarkEnd w:id="564"/>
    <w:bookmarkEnd w:id="565"/>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87"/>
      </w:tblGrid>
      <w:tr w14:paraId="2D0C9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14:paraId="2D00EDE4">
            <w:pPr>
              <w:keepNext w:val="0"/>
              <w:keepLines w:val="0"/>
              <w:suppressLineNumbers w:val="0"/>
              <w:shd w:val="clear" w:color="auto" w:fill="auto"/>
              <w:spacing w:before="0" w:beforeAutospacing="0" w:after="0" w:afterAutospacing="0" w:line="400" w:lineRule="exact"/>
              <w:ind w:left="0" w:right="0" w:firstLine="120" w:firstLineChars="50"/>
              <w:jc w:val="center"/>
              <w:rPr>
                <w:rFonts w:hint="eastAsia" w:hAnsi="宋体" w:cs="宋体"/>
                <w:b/>
                <w:color w:val="auto"/>
                <w:sz w:val="24"/>
                <w:szCs w:val="15"/>
                <w:highlight w:val="none"/>
              </w:rPr>
            </w:pPr>
            <w:r>
              <w:rPr>
                <w:rFonts w:hint="eastAsia" w:hAnsi="宋体" w:cs="宋体"/>
                <w:b/>
                <w:color w:val="auto"/>
                <w:sz w:val="24"/>
                <w:szCs w:val="15"/>
                <w:highlight w:val="none"/>
              </w:rPr>
              <w:t>年份</w:t>
            </w:r>
          </w:p>
        </w:tc>
        <w:tc>
          <w:tcPr>
            <w:tcW w:w="1439" w:type="dxa"/>
            <w:noWrap w:val="0"/>
            <w:vAlign w:val="center"/>
          </w:tcPr>
          <w:p w14:paraId="2F51D848">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用户名称</w:t>
            </w:r>
          </w:p>
        </w:tc>
        <w:tc>
          <w:tcPr>
            <w:tcW w:w="1319" w:type="dxa"/>
            <w:noWrap w:val="0"/>
            <w:vAlign w:val="center"/>
          </w:tcPr>
          <w:p w14:paraId="4238151D">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项目名称</w:t>
            </w:r>
          </w:p>
        </w:tc>
        <w:tc>
          <w:tcPr>
            <w:tcW w:w="1160" w:type="dxa"/>
            <w:noWrap w:val="0"/>
            <w:vAlign w:val="center"/>
          </w:tcPr>
          <w:p w14:paraId="1DBC4CA7">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完成时间</w:t>
            </w:r>
          </w:p>
        </w:tc>
        <w:tc>
          <w:tcPr>
            <w:tcW w:w="1421" w:type="dxa"/>
            <w:gridSpan w:val="2"/>
            <w:noWrap w:val="0"/>
            <w:vAlign w:val="center"/>
          </w:tcPr>
          <w:p w14:paraId="715FF85F">
            <w:pPr>
              <w:keepNext w:val="0"/>
              <w:keepLines w:val="0"/>
              <w:suppressLineNumbers w:val="0"/>
              <w:shd w:val="clear" w:color="auto" w:fill="auto"/>
              <w:spacing w:before="0" w:beforeAutospacing="0" w:after="0" w:afterAutospacing="0" w:line="400" w:lineRule="exact"/>
              <w:ind w:left="0" w:right="0" w:firstLine="120" w:firstLineChars="50"/>
              <w:jc w:val="center"/>
              <w:rPr>
                <w:rFonts w:hint="eastAsia" w:hAnsi="宋体" w:cs="宋体"/>
                <w:b/>
                <w:color w:val="auto"/>
                <w:sz w:val="24"/>
                <w:szCs w:val="15"/>
                <w:highlight w:val="none"/>
              </w:rPr>
            </w:pPr>
            <w:r>
              <w:rPr>
                <w:rFonts w:hint="eastAsia" w:hAnsi="宋体" w:cs="宋体"/>
                <w:b/>
                <w:color w:val="auto"/>
                <w:sz w:val="24"/>
                <w:szCs w:val="15"/>
                <w:highlight w:val="none"/>
              </w:rPr>
              <w:t>合同金额</w:t>
            </w:r>
          </w:p>
        </w:tc>
        <w:tc>
          <w:tcPr>
            <w:tcW w:w="1614" w:type="dxa"/>
            <w:gridSpan w:val="2"/>
            <w:tcBorders>
              <w:right w:val="single" w:color="auto" w:sz="4" w:space="0"/>
            </w:tcBorders>
            <w:noWrap w:val="0"/>
            <w:vAlign w:val="center"/>
          </w:tcPr>
          <w:p w14:paraId="0D37F487">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是否通过验收</w:t>
            </w:r>
          </w:p>
        </w:tc>
        <w:tc>
          <w:tcPr>
            <w:tcW w:w="1387" w:type="dxa"/>
            <w:tcBorders>
              <w:left w:val="single" w:color="auto" w:sz="4" w:space="0"/>
            </w:tcBorders>
            <w:noWrap w:val="0"/>
            <w:vAlign w:val="center"/>
          </w:tcPr>
          <w:p w14:paraId="3BF0D924">
            <w:pPr>
              <w:keepNext w:val="0"/>
              <w:keepLines w:val="0"/>
              <w:suppressLineNumbers w:val="0"/>
              <w:shd w:val="clear" w:color="auto" w:fill="auto"/>
              <w:spacing w:before="0" w:beforeAutospacing="0" w:after="0" w:afterAutospacing="0" w:line="400" w:lineRule="exact"/>
              <w:ind w:left="0" w:right="0"/>
              <w:jc w:val="center"/>
              <w:rPr>
                <w:rFonts w:hint="eastAsia" w:hAnsi="宋体" w:cs="宋体"/>
                <w:b/>
                <w:color w:val="auto"/>
                <w:sz w:val="24"/>
                <w:szCs w:val="15"/>
                <w:highlight w:val="none"/>
              </w:rPr>
            </w:pPr>
            <w:r>
              <w:rPr>
                <w:rFonts w:hint="eastAsia" w:hAnsi="宋体" w:cs="宋体"/>
                <w:b/>
                <w:color w:val="auto"/>
                <w:sz w:val="24"/>
                <w:szCs w:val="15"/>
                <w:highlight w:val="none"/>
              </w:rPr>
              <w:t>备注</w:t>
            </w:r>
          </w:p>
        </w:tc>
      </w:tr>
      <w:tr w14:paraId="06EF6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0008214C">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663FF0DD">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7750332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54E5974F">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395B430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07F743B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29651C8B">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50B22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72B7F0F0">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67018AC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258DA01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70D28B8E">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4FF0019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4B056C5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5DB01DD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55EABC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2562B27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5687F33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6F19E75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584EC0F8">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387C5B2C">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16FAD276">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300BA56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035438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4D8B6D3">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tcBorders>
              <w:right w:val="single" w:color="auto" w:sz="4" w:space="0"/>
            </w:tcBorders>
            <w:noWrap w:val="0"/>
            <w:vAlign w:val="center"/>
          </w:tcPr>
          <w:p w14:paraId="7BEF63CB">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tcBorders>
              <w:left w:val="single" w:color="auto" w:sz="4" w:space="0"/>
            </w:tcBorders>
            <w:noWrap w:val="0"/>
            <w:vAlign w:val="center"/>
          </w:tcPr>
          <w:p w14:paraId="1C1536A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2528C4E8">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noWrap w:val="0"/>
            <w:vAlign w:val="center"/>
          </w:tcPr>
          <w:p w14:paraId="7DBC15E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right w:val="single" w:color="auto" w:sz="4" w:space="0"/>
            </w:tcBorders>
            <w:noWrap w:val="0"/>
            <w:vAlign w:val="center"/>
          </w:tcPr>
          <w:p w14:paraId="7F0E4B2A">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213BA42C">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4A8B1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right w:val="single" w:color="auto" w:sz="4" w:space="0"/>
            </w:tcBorders>
            <w:noWrap w:val="0"/>
            <w:vAlign w:val="center"/>
          </w:tcPr>
          <w:p w14:paraId="4B1FCCF4">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39" w:type="dxa"/>
            <w:tcBorders>
              <w:left w:val="single" w:color="auto" w:sz="4" w:space="0"/>
              <w:right w:val="single" w:color="auto" w:sz="4" w:space="0"/>
            </w:tcBorders>
            <w:noWrap w:val="0"/>
            <w:vAlign w:val="center"/>
          </w:tcPr>
          <w:p w14:paraId="2ED0F34B">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319" w:type="dxa"/>
            <w:tcBorders>
              <w:left w:val="single" w:color="auto" w:sz="4" w:space="0"/>
              <w:right w:val="single" w:color="auto" w:sz="4" w:space="0"/>
            </w:tcBorders>
            <w:noWrap w:val="0"/>
            <w:vAlign w:val="center"/>
          </w:tcPr>
          <w:p w14:paraId="34A24B6C">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160" w:type="dxa"/>
            <w:tcBorders>
              <w:left w:val="single" w:color="auto" w:sz="4" w:space="0"/>
              <w:right w:val="single" w:color="auto" w:sz="4" w:space="0"/>
            </w:tcBorders>
            <w:noWrap w:val="0"/>
            <w:vAlign w:val="center"/>
          </w:tcPr>
          <w:p w14:paraId="09F944C8">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15" w:type="dxa"/>
            <w:tcBorders>
              <w:left w:val="single" w:color="auto" w:sz="4" w:space="0"/>
              <w:right w:val="single" w:color="auto" w:sz="4" w:space="0"/>
            </w:tcBorders>
            <w:noWrap w:val="0"/>
            <w:vAlign w:val="center"/>
          </w:tcPr>
          <w:p w14:paraId="46DAF3BB">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605" w:type="dxa"/>
            <w:gridSpan w:val="2"/>
            <w:tcBorders>
              <w:left w:val="single" w:color="auto" w:sz="4" w:space="0"/>
              <w:right w:val="single" w:color="auto" w:sz="4" w:space="0"/>
            </w:tcBorders>
            <w:noWrap w:val="0"/>
            <w:vAlign w:val="center"/>
          </w:tcPr>
          <w:p w14:paraId="62638857">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02" w:type="dxa"/>
            <w:gridSpan w:val="2"/>
            <w:tcBorders>
              <w:left w:val="single" w:color="auto" w:sz="4" w:space="0"/>
            </w:tcBorders>
            <w:noWrap w:val="0"/>
            <w:vAlign w:val="center"/>
          </w:tcPr>
          <w:p w14:paraId="63C46A6C">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r>
      <w:tr w14:paraId="293DB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2162AB66">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39" w:type="dxa"/>
            <w:noWrap w:val="0"/>
            <w:vAlign w:val="center"/>
          </w:tcPr>
          <w:p w14:paraId="6C67F78F">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319" w:type="dxa"/>
            <w:noWrap w:val="0"/>
            <w:vAlign w:val="center"/>
          </w:tcPr>
          <w:p w14:paraId="511A884C">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160" w:type="dxa"/>
            <w:noWrap w:val="0"/>
            <w:vAlign w:val="center"/>
          </w:tcPr>
          <w:p w14:paraId="22DAEDC7">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421" w:type="dxa"/>
            <w:gridSpan w:val="2"/>
            <w:tcBorders>
              <w:right w:val="single" w:color="auto" w:sz="4" w:space="0"/>
            </w:tcBorders>
            <w:noWrap w:val="0"/>
            <w:vAlign w:val="center"/>
          </w:tcPr>
          <w:p w14:paraId="3AA91091">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614" w:type="dxa"/>
            <w:gridSpan w:val="2"/>
            <w:tcBorders>
              <w:left w:val="single" w:color="auto" w:sz="4" w:space="0"/>
              <w:right w:val="single" w:color="auto" w:sz="4" w:space="0"/>
            </w:tcBorders>
            <w:noWrap w:val="0"/>
            <w:vAlign w:val="center"/>
          </w:tcPr>
          <w:p w14:paraId="3ACBF208">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c>
          <w:tcPr>
            <w:tcW w:w="1387" w:type="dxa"/>
            <w:tcBorders>
              <w:left w:val="single" w:color="auto" w:sz="4" w:space="0"/>
            </w:tcBorders>
            <w:noWrap w:val="0"/>
            <w:vAlign w:val="center"/>
          </w:tcPr>
          <w:p w14:paraId="36B95252">
            <w:pPr>
              <w:keepNext w:val="0"/>
              <w:keepLines w:val="0"/>
              <w:suppressLineNumbers w:val="0"/>
              <w:shd w:val="clear" w:color="auto" w:fill="auto"/>
              <w:spacing w:before="0" w:beforeAutospacing="0" w:after="0" w:afterAutospacing="0" w:line="400" w:lineRule="exact"/>
              <w:ind w:left="0" w:right="0"/>
              <w:rPr>
                <w:rFonts w:hint="eastAsia" w:hAnsi="宋体" w:cs="宋体"/>
                <w:color w:val="auto"/>
                <w:szCs w:val="20"/>
                <w:highlight w:val="none"/>
              </w:rPr>
            </w:pPr>
          </w:p>
        </w:tc>
      </w:tr>
      <w:tr w14:paraId="234437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84AAAE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2CF18812">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3EE233C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72CE3E0B">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tcBorders>
              <w:right w:val="single" w:color="auto" w:sz="4" w:space="0"/>
            </w:tcBorders>
            <w:noWrap w:val="0"/>
            <w:vAlign w:val="center"/>
          </w:tcPr>
          <w:p w14:paraId="75A8ED33">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left w:val="single" w:color="auto" w:sz="4" w:space="0"/>
              <w:right w:val="single" w:color="auto" w:sz="4" w:space="0"/>
            </w:tcBorders>
            <w:noWrap w:val="0"/>
            <w:vAlign w:val="center"/>
          </w:tcPr>
          <w:p w14:paraId="33F6E0FA">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198EA7B6">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r w14:paraId="7E9F5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18" w:type="dxa"/>
            <w:noWrap w:val="0"/>
            <w:vAlign w:val="center"/>
          </w:tcPr>
          <w:p w14:paraId="00E1DA0D">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39" w:type="dxa"/>
            <w:noWrap w:val="0"/>
            <w:vAlign w:val="center"/>
          </w:tcPr>
          <w:p w14:paraId="1E88F241">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19" w:type="dxa"/>
            <w:noWrap w:val="0"/>
            <w:vAlign w:val="center"/>
          </w:tcPr>
          <w:p w14:paraId="697B6A6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160" w:type="dxa"/>
            <w:noWrap w:val="0"/>
            <w:vAlign w:val="center"/>
          </w:tcPr>
          <w:p w14:paraId="19384474">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421" w:type="dxa"/>
            <w:gridSpan w:val="2"/>
            <w:tcBorders>
              <w:right w:val="single" w:color="auto" w:sz="4" w:space="0"/>
            </w:tcBorders>
            <w:noWrap w:val="0"/>
            <w:vAlign w:val="center"/>
          </w:tcPr>
          <w:p w14:paraId="1BB040A5">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614" w:type="dxa"/>
            <w:gridSpan w:val="2"/>
            <w:tcBorders>
              <w:left w:val="single" w:color="auto" w:sz="4" w:space="0"/>
              <w:right w:val="single" w:color="auto" w:sz="4" w:space="0"/>
            </w:tcBorders>
            <w:noWrap w:val="0"/>
            <w:vAlign w:val="center"/>
          </w:tcPr>
          <w:p w14:paraId="3213344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c>
          <w:tcPr>
            <w:tcW w:w="1387" w:type="dxa"/>
            <w:tcBorders>
              <w:left w:val="single" w:color="auto" w:sz="4" w:space="0"/>
            </w:tcBorders>
            <w:noWrap w:val="0"/>
            <w:vAlign w:val="center"/>
          </w:tcPr>
          <w:p w14:paraId="346D03F9">
            <w:pPr>
              <w:keepNext w:val="0"/>
              <w:keepLines w:val="0"/>
              <w:suppressLineNumbers w:val="0"/>
              <w:shd w:val="clear" w:color="auto" w:fill="auto"/>
              <w:spacing w:before="0" w:beforeAutospacing="0" w:after="0" w:afterAutospacing="0" w:line="400" w:lineRule="exact"/>
              <w:ind w:left="0" w:right="0"/>
              <w:jc w:val="center"/>
              <w:rPr>
                <w:rFonts w:hint="eastAsia" w:hAnsi="宋体" w:cs="宋体"/>
                <w:color w:val="auto"/>
                <w:szCs w:val="20"/>
                <w:highlight w:val="none"/>
              </w:rPr>
            </w:pPr>
          </w:p>
        </w:tc>
      </w:tr>
    </w:tbl>
    <w:p w14:paraId="29E6A3EB">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ind w:firstLine="482" w:firstLineChars="200"/>
        <w:rPr>
          <w:rFonts w:hint="eastAsia" w:hAnsi="宋体" w:cs="宋体"/>
          <w:b/>
          <w:bCs/>
          <w:color w:val="auto"/>
          <w:sz w:val="24"/>
          <w:highlight w:val="none"/>
        </w:rPr>
      </w:pPr>
      <w:r>
        <w:rPr>
          <w:rFonts w:hint="eastAsia" w:hAnsi="宋体" w:cs="宋体"/>
          <w:b/>
          <w:bCs/>
          <w:color w:val="auto"/>
          <w:sz w:val="24"/>
          <w:highlight w:val="none"/>
        </w:rPr>
        <w:t>注：供应商（仅限于供应商自己的）以上业绩需提供有关书面证明材料。</w:t>
      </w:r>
    </w:p>
    <w:p w14:paraId="623C5005">
      <w:pPr>
        <w:shd w:val="clear" w:color="auto" w:fill="auto"/>
        <w:spacing w:line="400" w:lineRule="exact"/>
        <w:ind w:left="360"/>
        <w:jc w:val="center"/>
        <w:rPr>
          <w:rFonts w:hint="eastAsia" w:hAnsi="宋体" w:cs="宋体"/>
          <w:color w:val="auto"/>
          <w:sz w:val="24"/>
          <w:highlight w:val="none"/>
        </w:rPr>
      </w:pPr>
    </w:p>
    <w:p w14:paraId="226C5C4F">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6CA26E2E">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rPr>
        <w:t xml:space="preserve">法定代表人或授权代表（签字）： </w:t>
      </w:r>
    </w:p>
    <w:p w14:paraId="34009096">
      <w:pPr>
        <w:shd w:val="clear" w:color="auto" w:fill="auto"/>
        <w:adjustRightInd w:val="0"/>
        <w:spacing w:line="400" w:lineRule="exact"/>
        <w:ind w:firstLine="480" w:firstLineChars="200"/>
        <w:jc w:val="left"/>
        <w:rPr>
          <w:rFonts w:hint="eastAsia" w:hAnsi="宋体" w:cs="宋体"/>
          <w:bCs/>
          <w:color w:val="auto"/>
          <w:sz w:val="24"/>
          <w:highlight w:val="none"/>
        </w:rPr>
      </w:pPr>
      <w:r>
        <w:rPr>
          <w:rFonts w:hint="eastAsia" w:hAnsi="宋体" w:cs="宋体"/>
          <w:bCs/>
          <w:color w:val="auto"/>
          <w:sz w:val="24"/>
          <w:highlight w:val="none"/>
        </w:rPr>
        <w:t>日  期：  年 月 日</w:t>
      </w:r>
    </w:p>
    <w:p w14:paraId="1B1D664D">
      <w:pPr>
        <w:shd w:val="clear" w:color="auto" w:fill="auto"/>
        <w:jc w:val="left"/>
        <w:rPr>
          <w:rFonts w:hint="eastAsia" w:hAnsi="宋体" w:cs="宋体"/>
          <w:color w:val="auto"/>
          <w:sz w:val="24"/>
          <w:highlight w:val="none"/>
        </w:rPr>
      </w:pPr>
    </w:p>
    <w:p w14:paraId="6201E52E">
      <w:pPr>
        <w:shd w:val="clear" w:color="auto" w:fill="auto"/>
        <w:spacing w:line="480" w:lineRule="auto"/>
        <w:outlineLvl w:val="1"/>
        <w:rPr>
          <w:rFonts w:hint="eastAsia" w:hAnsi="宋体" w:cs="宋体"/>
          <w:b/>
          <w:bCs/>
          <w:color w:val="auto"/>
          <w:sz w:val="28"/>
          <w:szCs w:val="28"/>
          <w:highlight w:val="none"/>
        </w:rPr>
      </w:pPr>
      <w:bookmarkStart w:id="568" w:name="_Toc17603"/>
      <w:bookmarkStart w:id="569" w:name="_Toc29226"/>
      <w:bookmarkStart w:id="570" w:name="_Toc23545"/>
      <w:bookmarkStart w:id="571" w:name="_Toc27813"/>
      <w:bookmarkStart w:id="572" w:name="_Toc9537"/>
      <w:bookmarkStart w:id="573" w:name="_Toc18780"/>
      <w:bookmarkStart w:id="574" w:name="_Toc4554"/>
      <w:bookmarkStart w:id="575" w:name="_Toc751"/>
      <w:bookmarkStart w:id="576" w:name="_Toc2084"/>
      <w:bookmarkStart w:id="577" w:name="_Toc13342"/>
      <w:bookmarkStart w:id="578" w:name="_Toc16719"/>
      <w:bookmarkStart w:id="579" w:name="_Toc27199"/>
      <w:bookmarkStart w:id="580" w:name="_Toc11614"/>
      <w:bookmarkStart w:id="581" w:name="_Toc3318"/>
      <w:bookmarkStart w:id="582" w:name="_Toc24353"/>
      <w:bookmarkStart w:id="583" w:name="_Toc15364"/>
      <w:bookmarkStart w:id="584" w:name="_Toc13644"/>
      <w:bookmarkStart w:id="585" w:name="_Toc217446090"/>
      <w:bookmarkStart w:id="586" w:name="_Toc10782"/>
      <w:bookmarkStart w:id="587" w:name="_Toc30678"/>
      <w:bookmarkStart w:id="588" w:name="_Toc19125"/>
      <w:r>
        <w:rPr>
          <w:rFonts w:hint="eastAsia" w:hAnsi="宋体" w:cs="宋体"/>
          <w:b/>
          <w:bCs/>
          <w:color w:val="auto"/>
          <w:sz w:val="28"/>
          <w:szCs w:val="28"/>
          <w:highlight w:val="none"/>
        </w:rPr>
        <w:br w:type="page"/>
      </w:r>
      <w:bookmarkStart w:id="589" w:name="_Toc15827"/>
      <w:bookmarkStart w:id="590" w:name="_Toc26173"/>
      <w:r>
        <w:rPr>
          <w:rFonts w:hint="eastAsia" w:hAnsi="宋体" w:cs="宋体"/>
          <w:b/>
          <w:bCs/>
          <w:color w:val="auto"/>
          <w:sz w:val="28"/>
          <w:szCs w:val="28"/>
          <w:highlight w:val="none"/>
        </w:rPr>
        <w:t xml:space="preserve">格式2-8  </w:t>
      </w:r>
      <w:bookmarkEnd w:id="568"/>
      <w:r>
        <w:rPr>
          <w:rFonts w:hint="eastAsia" w:hAnsi="宋体" w:cs="宋体"/>
          <w:b/>
          <w:bCs/>
          <w:color w:val="auto"/>
          <w:sz w:val="28"/>
          <w:szCs w:val="28"/>
          <w:highlight w:val="none"/>
        </w:rPr>
        <w:t>技术/服务要求应答表</w:t>
      </w:r>
      <w:bookmarkEnd w:id="569"/>
      <w:bookmarkEnd w:id="570"/>
      <w:bookmarkEnd w:id="571"/>
      <w:bookmarkEnd w:id="572"/>
      <w:bookmarkEnd w:id="573"/>
      <w:bookmarkEnd w:id="574"/>
      <w:bookmarkEnd w:id="575"/>
      <w:bookmarkEnd w:id="576"/>
      <w:bookmarkEnd w:id="577"/>
      <w:bookmarkEnd w:id="578"/>
      <w:bookmarkEnd w:id="579"/>
      <w:bookmarkEnd w:id="589"/>
      <w:bookmarkEnd w:id="590"/>
    </w:p>
    <w:bookmarkEnd w:id="580"/>
    <w:bookmarkEnd w:id="581"/>
    <w:bookmarkEnd w:id="582"/>
    <w:bookmarkEnd w:id="583"/>
    <w:bookmarkEnd w:id="584"/>
    <w:bookmarkEnd w:id="585"/>
    <w:bookmarkEnd w:id="586"/>
    <w:bookmarkEnd w:id="587"/>
    <w:bookmarkEnd w:id="588"/>
    <w:p w14:paraId="765B6B20">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项目名称：</w:t>
      </w:r>
    </w:p>
    <w:p w14:paraId="5606C1D1">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项目编号：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99"/>
        <w:gridCol w:w="2917"/>
        <w:gridCol w:w="3070"/>
      </w:tblGrid>
      <w:tr w14:paraId="012C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32" w:type="dxa"/>
            <w:noWrap w:val="0"/>
            <w:vAlign w:val="center"/>
          </w:tcPr>
          <w:p w14:paraId="47EAC2A1">
            <w:pPr>
              <w:pStyle w:val="25"/>
              <w:keepNext w:val="0"/>
              <w:keepLines w:val="0"/>
              <w:widowControl w:val="0"/>
              <w:suppressLineNumbers w:val="0"/>
              <w:shd w:val="clear" w:color="auto" w:fill="auto"/>
              <w:autoSpaceDE w:val="0"/>
              <w:autoSpaceDN w:val="0"/>
              <w:spacing w:before="0" w:beforeAutospacing="0" w:after="0" w:afterAutospacing="0"/>
              <w:ind w:left="0" w:right="0"/>
              <w:rPr>
                <w:rFonts w:hint="eastAsia" w:cs="宋体"/>
                <w:b/>
                <w:color w:val="auto"/>
                <w:sz w:val="24"/>
                <w:szCs w:val="24"/>
                <w:highlight w:val="none"/>
              </w:rPr>
            </w:pPr>
            <w:r>
              <w:rPr>
                <w:rFonts w:hint="eastAsia" w:cs="宋体"/>
                <w:b/>
                <w:color w:val="auto"/>
                <w:sz w:val="24"/>
                <w:szCs w:val="24"/>
                <w:highlight w:val="none"/>
                <w:lang w:bidi="ar"/>
              </w:rPr>
              <w:t>序号</w:t>
            </w:r>
          </w:p>
        </w:tc>
        <w:tc>
          <w:tcPr>
            <w:tcW w:w="2199" w:type="dxa"/>
            <w:noWrap w:val="0"/>
            <w:vAlign w:val="center"/>
          </w:tcPr>
          <w:p w14:paraId="05CC44E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jc w:val="center"/>
              <w:rPr>
                <w:rFonts w:hint="eastAsia" w:cs="宋体"/>
                <w:b/>
                <w:color w:val="auto"/>
                <w:sz w:val="24"/>
                <w:szCs w:val="24"/>
                <w:highlight w:val="none"/>
              </w:rPr>
            </w:pPr>
            <w:r>
              <w:rPr>
                <w:rFonts w:hint="eastAsia" w:cs="宋体"/>
                <w:b/>
                <w:color w:val="auto"/>
                <w:sz w:val="24"/>
                <w:szCs w:val="24"/>
                <w:highlight w:val="none"/>
                <w:lang w:bidi="ar"/>
              </w:rPr>
              <w:t>磋商文件要求</w:t>
            </w:r>
          </w:p>
        </w:tc>
        <w:tc>
          <w:tcPr>
            <w:tcW w:w="2917" w:type="dxa"/>
            <w:noWrap w:val="0"/>
            <w:vAlign w:val="center"/>
          </w:tcPr>
          <w:p w14:paraId="1768E7B8">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jc w:val="center"/>
              <w:rPr>
                <w:rFonts w:hint="eastAsia" w:cs="宋体"/>
                <w:b/>
                <w:color w:val="auto"/>
                <w:sz w:val="24"/>
                <w:szCs w:val="24"/>
                <w:highlight w:val="none"/>
              </w:rPr>
            </w:pPr>
            <w:r>
              <w:rPr>
                <w:rFonts w:hint="eastAsia" w:cs="宋体"/>
                <w:b/>
                <w:color w:val="auto"/>
                <w:sz w:val="24"/>
                <w:szCs w:val="24"/>
                <w:highlight w:val="none"/>
                <w:lang w:bidi="ar"/>
              </w:rPr>
              <w:t>响应文件应答</w:t>
            </w:r>
          </w:p>
        </w:tc>
        <w:tc>
          <w:tcPr>
            <w:tcW w:w="3070" w:type="dxa"/>
            <w:noWrap w:val="0"/>
            <w:vAlign w:val="center"/>
          </w:tcPr>
          <w:p w14:paraId="5B69B45A">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jc w:val="center"/>
              <w:rPr>
                <w:rFonts w:hint="eastAsia" w:cs="宋体"/>
                <w:b/>
                <w:color w:val="auto"/>
                <w:sz w:val="24"/>
                <w:szCs w:val="24"/>
                <w:highlight w:val="none"/>
              </w:rPr>
            </w:pPr>
            <w:r>
              <w:rPr>
                <w:rFonts w:hint="eastAsia" w:cs="宋体"/>
                <w:b/>
                <w:color w:val="auto"/>
                <w:sz w:val="24"/>
                <w:szCs w:val="24"/>
                <w:highlight w:val="none"/>
                <w:lang w:bidi="ar"/>
              </w:rPr>
              <w:t>偏离情况（正/负/无）</w:t>
            </w:r>
          </w:p>
        </w:tc>
      </w:tr>
      <w:tr w14:paraId="0D3F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7D9AD16A">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1</w:t>
            </w:r>
          </w:p>
        </w:tc>
        <w:tc>
          <w:tcPr>
            <w:tcW w:w="2199" w:type="dxa"/>
            <w:noWrap w:val="0"/>
            <w:vAlign w:val="top"/>
          </w:tcPr>
          <w:p w14:paraId="34211B96">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4254AE25">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351059FE">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678D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0B34433B">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2</w:t>
            </w:r>
          </w:p>
        </w:tc>
        <w:tc>
          <w:tcPr>
            <w:tcW w:w="2199" w:type="dxa"/>
            <w:noWrap w:val="0"/>
            <w:vAlign w:val="top"/>
          </w:tcPr>
          <w:p w14:paraId="5E51C09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3CA5FD0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7B891BFE">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550D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4832863B">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3</w:t>
            </w:r>
          </w:p>
        </w:tc>
        <w:tc>
          <w:tcPr>
            <w:tcW w:w="2199" w:type="dxa"/>
            <w:noWrap w:val="0"/>
            <w:vAlign w:val="top"/>
          </w:tcPr>
          <w:p w14:paraId="1D4FCCDD">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6F32AA8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2DD9F0AB">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4188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center"/>
          </w:tcPr>
          <w:p w14:paraId="5B1D6F9C">
            <w:pPr>
              <w:keepNext w:val="0"/>
              <w:keepLines w:val="0"/>
              <w:widowControl/>
              <w:suppressLineNumbers w:val="0"/>
              <w:shd w:val="clear" w:color="auto" w:fill="auto"/>
              <w:autoSpaceDE w:val="0"/>
              <w:autoSpaceDN w:val="0"/>
              <w:spacing w:before="0" w:beforeAutospacing="0" w:after="0" w:afterAutospacing="0" w:line="360" w:lineRule="atLeast"/>
              <w:ind w:left="0" w:right="0"/>
              <w:jc w:val="center"/>
              <w:rPr>
                <w:rFonts w:hint="eastAsia" w:hAnsi="宋体" w:cs="宋体"/>
                <w:color w:val="auto"/>
                <w:sz w:val="24"/>
                <w:szCs w:val="20"/>
                <w:highlight w:val="none"/>
              </w:rPr>
            </w:pPr>
            <w:r>
              <w:rPr>
                <w:rFonts w:hint="eastAsia" w:hAnsi="宋体" w:cs="宋体"/>
                <w:color w:val="auto"/>
                <w:sz w:val="24"/>
                <w:szCs w:val="20"/>
                <w:highlight w:val="none"/>
                <w:lang w:bidi="ar"/>
              </w:rPr>
              <w:t>...</w:t>
            </w:r>
          </w:p>
        </w:tc>
        <w:tc>
          <w:tcPr>
            <w:tcW w:w="2199" w:type="dxa"/>
            <w:noWrap w:val="0"/>
            <w:vAlign w:val="top"/>
          </w:tcPr>
          <w:p w14:paraId="75336D5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17483B8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221B665B">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07FF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top"/>
          </w:tcPr>
          <w:p w14:paraId="0CD82B6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199" w:type="dxa"/>
            <w:noWrap w:val="0"/>
            <w:vAlign w:val="top"/>
          </w:tcPr>
          <w:p w14:paraId="69C896D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1493BA7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7D2C1E22">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7D65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noWrap w:val="0"/>
            <w:vAlign w:val="top"/>
          </w:tcPr>
          <w:p w14:paraId="27662361">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199" w:type="dxa"/>
            <w:noWrap w:val="0"/>
            <w:vAlign w:val="top"/>
          </w:tcPr>
          <w:p w14:paraId="50BAAA7C">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02F8C718">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3D7D6EE3">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r w14:paraId="6872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2" w:type="dxa"/>
            <w:noWrap w:val="0"/>
            <w:vAlign w:val="top"/>
          </w:tcPr>
          <w:p w14:paraId="62F49A8E">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199" w:type="dxa"/>
            <w:noWrap w:val="0"/>
            <w:vAlign w:val="top"/>
          </w:tcPr>
          <w:p w14:paraId="7A002608">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2917" w:type="dxa"/>
            <w:noWrap w:val="0"/>
            <w:vAlign w:val="top"/>
          </w:tcPr>
          <w:p w14:paraId="6B126FCB">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c>
          <w:tcPr>
            <w:tcW w:w="3070" w:type="dxa"/>
            <w:noWrap w:val="0"/>
            <w:vAlign w:val="top"/>
          </w:tcPr>
          <w:p w14:paraId="0484DA7C">
            <w:pPr>
              <w:pStyle w:val="25"/>
              <w:keepNext w:val="0"/>
              <w:keepLines w:val="0"/>
              <w:widowControl w:val="0"/>
              <w:suppressLineNumbers w:val="0"/>
              <w:shd w:val="clear" w:color="auto" w:fill="auto"/>
              <w:autoSpaceDE w:val="0"/>
              <w:autoSpaceDN w:val="0"/>
              <w:spacing w:before="0" w:beforeAutospacing="0" w:after="0" w:afterAutospacing="0" w:line="400" w:lineRule="exact"/>
              <w:ind w:left="0" w:right="0"/>
              <w:rPr>
                <w:rFonts w:hint="eastAsia" w:cs="宋体"/>
                <w:color w:val="auto"/>
                <w:sz w:val="24"/>
                <w:szCs w:val="24"/>
                <w:highlight w:val="none"/>
              </w:rPr>
            </w:pPr>
          </w:p>
        </w:tc>
      </w:tr>
    </w:tbl>
    <w:p w14:paraId="29857EC3">
      <w:pPr>
        <w:shd w:val="clear" w:color="auto" w:fill="auto"/>
        <w:spacing w:line="400" w:lineRule="exact"/>
        <w:ind w:left="676" w:leftChars="57" w:hanging="482" w:hangingChars="200"/>
        <w:rPr>
          <w:rFonts w:hint="eastAsia" w:hAnsi="宋体" w:cs="宋体"/>
          <w:b/>
          <w:bCs/>
          <w:color w:val="auto"/>
          <w:sz w:val="24"/>
          <w:highlight w:val="none"/>
        </w:rPr>
      </w:pPr>
      <w:r>
        <w:rPr>
          <w:rFonts w:hint="eastAsia" w:hAnsi="宋体" w:cs="宋体"/>
          <w:b/>
          <w:bCs/>
          <w:color w:val="auto"/>
          <w:sz w:val="24"/>
          <w:highlight w:val="none"/>
        </w:rPr>
        <w:t>注：1.本表只填写响应文件中与磋商文件有偏离（包括正偏离和负偏离）的内容，响应文件中技术/服务要求响应与磋商文件要求完全一致的，不用在此表中列出,但此表格式须留存。</w:t>
      </w:r>
    </w:p>
    <w:p w14:paraId="57F6B88F">
      <w:pPr>
        <w:shd w:val="clear" w:color="auto" w:fill="auto"/>
        <w:spacing w:line="400" w:lineRule="exact"/>
        <w:ind w:left="0" w:leftChars="0" w:firstLine="723" w:firstLineChars="300"/>
        <w:rPr>
          <w:rFonts w:hint="eastAsia" w:hAnsi="宋体" w:cs="宋体"/>
          <w:b/>
          <w:bCs/>
          <w:color w:val="auto"/>
          <w:sz w:val="24"/>
          <w:highlight w:val="none"/>
        </w:rPr>
      </w:pPr>
      <w:r>
        <w:rPr>
          <w:rFonts w:hint="eastAsia" w:hAnsi="宋体" w:cs="宋体"/>
          <w:b/>
          <w:bCs/>
          <w:color w:val="auto"/>
          <w:sz w:val="24"/>
          <w:highlight w:val="none"/>
        </w:rPr>
        <w:t>2．供应商必须据实填写，不得虚假响应，否则将取消其投标或中标资格。</w:t>
      </w:r>
    </w:p>
    <w:p w14:paraId="634ACC92">
      <w:pPr>
        <w:shd w:val="clear" w:color="auto" w:fill="auto"/>
        <w:spacing w:line="360" w:lineRule="auto"/>
        <w:rPr>
          <w:rFonts w:hint="eastAsia" w:hAnsi="宋体" w:cs="宋体"/>
          <w:b/>
          <w:bCs/>
          <w:color w:val="auto"/>
          <w:sz w:val="24"/>
          <w:highlight w:val="none"/>
        </w:rPr>
      </w:pPr>
    </w:p>
    <w:p w14:paraId="4BAA8860">
      <w:pPr>
        <w:shd w:val="clear" w:color="auto" w:fill="auto"/>
        <w:adjustRightInd w:val="0"/>
        <w:spacing w:line="400" w:lineRule="exact"/>
        <w:ind w:firstLine="480" w:firstLineChars="200"/>
        <w:jc w:val="left"/>
        <w:rPr>
          <w:rFonts w:hint="eastAsia" w:hAnsi="宋体" w:cs="宋体"/>
          <w:color w:val="auto"/>
          <w:sz w:val="24"/>
          <w:highlight w:val="none"/>
        </w:rPr>
      </w:pPr>
    </w:p>
    <w:p w14:paraId="17B28356">
      <w:pPr>
        <w:shd w:val="clear" w:color="auto" w:fill="auto"/>
        <w:adjustRightInd w:val="0"/>
        <w:spacing w:line="400" w:lineRule="exact"/>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59FEE6F8">
      <w:pPr>
        <w:shd w:val="clear" w:color="auto" w:fill="auto"/>
        <w:adjustRightInd w:val="0"/>
        <w:spacing w:line="400" w:lineRule="exact"/>
        <w:ind w:firstLine="480" w:firstLineChars="200"/>
        <w:jc w:val="left"/>
        <w:rPr>
          <w:rFonts w:hint="eastAsia" w:hAnsi="宋体" w:cs="宋体"/>
          <w:bCs/>
          <w:color w:val="auto"/>
          <w:sz w:val="24"/>
          <w:highlight w:val="none"/>
        </w:rPr>
      </w:pPr>
      <w:r>
        <w:rPr>
          <w:rFonts w:hint="eastAsia" w:hAnsi="宋体" w:cs="宋体"/>
          <w:bCs/>
          <w:color w:val="auto"/>
          <w:sz w:val="24"/>
          <w:highlight w:val="none"/>
        </w:rPr>
        <w:t xml:space="preserve">法定代表人或授权代表（签字或盖章）： </w:t>
      </w:r>
    </w:p>
    <w:p w14:paraId="0DB0E9D5">
      <w:pPr>
        <w:shd w:val="clear" w:color="auto" w:fill="auto"/>
        <w:adjustRightInd w:val="0"/>
        <w:spacing w:line="400" w:lineRule="exact"/>
        <w:ind w:firstLine="540" w:firstLineChars="225"/>
        <w:jc w:val="left"/>
        <w:rPr>
          <w:rFonts w:hint="eastAsia" w:hAnsi="宋体" w:cs="宋体"/>
          <w:bCs/>
          <w:color w:val="auto"/>
          <w:sz w:val="24"/>
          <w:highlight w:val="none"/>
        </w:rPr>
      </w:pPr>
      <w:r>
        <w:rPr>
          <w:rFonts w:hint="eastAsia" w:hAnsi="宋体" w:cs="宋体"/>
          <w:bCs/>
          <w:color w:val="auto"/>
          <w:sz w:val="24"/>
          <w:highlight w:val="none"/>
        </w:rPr>
        <w:t>日  期</w:t>
      </w:r>
      <w:r>
        <w:rPr>
          <w:rFonts w:hint="eastAsia" w:hAnsi="宋体" w:cs="宋体"/>
          <w:color w:val="auto"/>
          <w:sz w:val="24"/>
          <w:highlight w:val="none"/>
        </w:rPr>
        <w:t xml:space="preserve">：  </w:t>
      </w:r>
      <w:r>
        <w:rPr>
          <w:rFonts w:hint="eastAsia" w:hAnsi="宋体" w:cs="宋体"/>
          <w:bCs/>
          <w:color w:val="auto"/>
          <w:sz w:val="24"/>
          <w:highlight w:val="none"/>
        </w:rPr>
        <w:t xml:space="preserve"> 年 月 日</w:t>
      </w:r>
    </w:p>
    <w:p w14:paraId="78BBB31A">
      <w:pPr>
        <w:shd w:val="clear" w:color="auto" w:fill="auto"/>
        <w:outlineLvl w:val="1"/>
        <w:rPr>
          <w:rFonts w:hint="eastAsia" w:hAnsi="宋体" w:cs="宋体"/>
          <w:b/>
          <w:bCs/>
          <w:color w:val="auto"/>
          <w:sz w:val="32"/>
          <w:szCs w:val="32"/>
          <w:highlight w:val="none"/>
        </w:rPr>
      </w:pPr>
      <w:bookmarkStart w:id="591" w:name="_Toc11887"/>
      <w:bookmarkStart w:id="592" w:name="_Toc4190"/>
      <w:bookmarkStart w:id="593" w:name="_Toc31335"/>
      <w:bookmarkStart w:id="594" w:name="_Toc10160"/>
      <w:bookmarkStart w:id="595" w:name="_Toc12574"/>
      <w:bookmarkStart w:id="596" w:name="_Toc5366"/>
      <w:bookmarkStart w:id="597" w:name="_Toc25375"/>
      <w:bookmarkStart w:id="598" w:name="_Toc30149"/>
      <w:bookmarkStart w:id="599" w:name="_Toc26856"/>
      <w:bookmarkStart w:id="600" w:name="_Toc15398"/>
      <w:bookmarkStart w:id="601" w:name="_Toc24793"/>
      <w:bookmarkStart w:id="602" w:name="_Toc26981"/>
      <w:r>
        <w:rPr>
          <w:rFonts w:hint="eastAsia" w:hAnsi="宋体" w:cs="宋体"/>
          <w:b/>
          <w:bCs/>
          <w:color w:val="auto"/>
          <w:sz w:val="28"/>
          <w:szCs w:val="28"/>
          <w:highlight w:val="none"/>
        </w:rPr>
        <w:br w:type="page"/>
      </w:r>
      <w:bookmarkStart w:id="603" w:name="_Toc1260"/>
      <w:bookmarkStart w:id="604" w:name="_Toc16417"/>
      <w:r>
        <w:rPr>
          <w:rFonts w:hint="eastAsia" w:hAnsi="宋体" w:cs="宋体"/>
          <w:b/>
          <w:bCs/>
          <w:color w:val="auto"/>
          <w:sz w:val="28"/>
          <w:szCs w:val="28"/>
          <w:highlight w:val="none"/>
        </w:rPr>
        <w:t xml:space="preserve">格式2-9  </w:t>
      </w:r>
      <w:bookmarkEnd w:id="591"/>
      <w:r>
        <w:rPr>
          <w:rFonts w:hint="eastAsia" w:hAnsi="宋体" w:cs="宋体"/>
          <w:b/>
          <w:bCs/>
          <w:color w:val="auto"/>
          <w:sz w:val="28"/>
          <w:szCs w:val="28"/>
          <w:highlight w:val="none"/>
        </w:rPr>
        <w:t>供应商本项目管理、技术、服务人员情况表</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4252BEA8">
      <w:pPr>
        <w:shd w:val="clear" w:color="auto" w:fill="auto"/>
        <w:rPr>
          <w:rFonts w:hint="eastAsia" w:hAnsi="宋体" w:cs="宋体"/>
          <w:color w:val="auto"/>
          <w:sz w:val="24"/>
          <w:highlight w:val="none"/>
        </w:rPr>
      </w:pPr>
    </w:p>
    <w:p w14:paraId="2E967F0A">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项目名称：</w:t>
      </w:r>
    </w:p>
    <w:p w14:paraId="7D693F11">
      <w:pPr>
        <w:shd w:val="clear" w:color="auto" w:fill="auto"/>
        <w:spacing w:line="360" w:lineRule="auto"/>
        <w:rPr>
          <w:rFonts w:hint="eastAsia" w:hAnsi="宋体" w:cs="宋体"/>
          <w:color w:val="auto"/>
          <w:sz w:val="24"/>
          <w:highlight w:val="none"/>
        </w:rPr>
      </w:pPr>
      <w:r>
        <w:rPr>
          <w:rFonts w:hint="eastAsia" w:hAnsi="宋体" w:cs="宋体"/>
          <w:color w:val="auto"/>
          <w:sz w:val="24"/>
          <w:highlight w:val="none"/>
        </w:rPr>
        <w:t>项目编号：</w:t>
      </w:r>
    </w:p>
    <w:p w14:paraId="5FD744B1">
      <w:pPr>
        <w:pStyle w:val="13"/>
        <w:numPr>
          <w:ilvl w:val="0"/>
          <w:numId w:val="0"/>
        </w:numPr>
        <w:shd w:val="clear" w:color="auto" w:fill="auto"/>
        <w:rPr>
          <w:rFonts w:hint="eastAsia" w:ascii="宋体" w:hAnsi="宋体" w:eastAsia="宋体" w:cs="宋体"/>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974"/>
        <w:gridCol w:w="975"/>
        <w:gridCol w:w="975"/>
        <w:gridCol w:w="975"/>
        <w:gridCol w:w="975"/>
        <w:gridCol w:w="974"/>
        <w:gridCol w:w="975"/>
        <w:gridCol w:w="978"/>
      </w:tblGrid>
      <w:tr w14:paraId="7D87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2B8A177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类别</w:t>
            </w:r>
          </w:p>
        </w:tc>
        <w:tc>
          <w:tcPr>
            <w:tcW w:w="974" w:type="dxa"/>
            <w:vMerge w:val="restart"/>
            <w:noWrap w:val="0"/>
            <w:vAlign w:val="center"/>
          </w:tcPr>
          <w:p w14:paraId="18534B5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职务</w:t>
            </w:r>
          </w:p>
        </w:tc>
        <w:tc>
          <w:tcPr>
            <w:tcW w:w="975" w:type="dxa"/>
            <w:vMerge w:val="restart"/>
            <w:noWrap w:val="0"/>
            <w:vAlign w:val="center"/>
          </w:tcPr>
          <w:p w14:paraId="17DC244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姓名</w:t>
            </w:r>
          </w:p>
        </w:tc>
        <w:tc>
          <w:tcPr>
            <w:tcW w:w="975" w:type="dxa"/>
            <w:vMerge w:val="restart"/>
            <w:noWrap w:val="0"/>
            <w:vAlign w:val="center"/>
          </w:tcPr>
          <w:p w14:paraId="089DB44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职称</w:t>
            </w:r>
          </w:p>
        </w:tc>
        <w:tc>
          <w:tcPr>
            <w:tcW w:w="975" w:type="dxa"/>
            <w:vMerge w:val="restart"/>
            <w:noWrap w:val="0"/>
            <w:vAlign w:val="center"/>
          </w:tcPr>
          <w:p w14:paraId="3B8D68C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常住地</w:t>
            </w:r>
          </w:p>
        </w:tc>
        <w:tc>
          <w:tcPr>
            <w:tcW w:w="3902" w:type="dxa"/>
            <w:gridSpan w:val="4"/>
            <w:noWrap w:val="0"/>
            <w:vAlign w:val="center"/>
          </w:tcPr>
          <w:p w14:paraId="116A31C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资格证明（附复印件）</w:t>
            </w:r>
          </w:p>
        </w:tc>
      </w:tr>
      <w:tr w14:paraId="00AD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974" w:type="dxa"/>
            <w:vMerge w:val="continue"/>
            <w:noWrap w:val="0"/>
            <w:vAlign w:val="center"/>
          </w:tcPr>
          <w:p w14:paraId="0A225C4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vMerge w:val="continue"/>
            <w:noWrap w:val="0"/>
            <w:vAlign w:val="center"/>
          </w:tcPr>
          <w:p w14:paraId="5D8FCB30">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vMerge w:val="continue"/>
            <w:noWrap w:val="0"/>
            <w:vAlign w:val="center"/>
          </w:tcPr>
          <w:p w14:paraId="53DC193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vMerge w:val="continue"/>
            <w:noWrap w:val="0"/>
            <w:vAlign w:val="center"/>
          </w:tcPr>
          <w:p w14:paraId="6BE9FB6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vMerge w:val="continue"/>
            <w:noWrap w:val="0"/>
            <w:vAlign w:val="center"/>
          </w:tcPr>
          <w:p w14:paraId="5AF9005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5" w:type="dxa"/>
            <w:noWrap w:val="0"/>
            <w:vAlign w:val="center"/>
          </w:tcPr>
          <w:p w14:paraId="5DDC969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证书</w:t>
            </w:r>
          </w:p>
          <w:p w14:paraId="7DEEC7C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名称</w:t>
            </w:r>
          </w:p>
        </w:tc>
        <w:tc>
          <w:tcPr>
            <w:tcW w:w="974" w:type="dxa"/>
            <w:noWrap w:val="0"/>
            <w:vAlign w:val="center"/>
          </w:tcPr>
          <w:p w14:paraId="29E15B6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级别</w:t>
            </w:r>
          </w:p>
        </w:tc>
        <w:tc>
          <w:tcPr>
            <w:tcW w:w="975" w:type="dxa"/>
            <w:noWrap w:val="0"/>
            <w:vAlign w:val="center"/>
          </w:tcPr>
          <w:p w14:paraId="3DC315A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证号</w:t>
            </w:r>
          </w:p>
        </w:tc>
        <w:tc>
          <w:tcPr>
            <w:tcW w:w="978" w:type="dxa"/>
            <w:noWrap w:val="0"/>
            <w:vAlign w:val="center"/>
          </w:tcPr>
          <w:p w14:paraId="5090B55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专业</w:t>
            </w:r>
          </w:p>
        </w:tc>
      </w:tr>
      <w:tr w14:paraId="52D9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3BFD316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管理</w:t>
            </w:r>
          </w:p>
          <w:p w14:paraId="66D0803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人员</w:t>
            </w:r>
          </w:p>
        </w:tc>
        <w:tc>
          <w:tcPr>
            <w:tcW w:w="974" w:type="dxa"/>
            <w:noWrap w:val="0"/>
            <w:vAlign w:val="top"/>
          </w:tcPr>
          <w:p w14:paraId="10BFC3B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657FA2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3EA2FF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F55A26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358C5D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1A1D2B0E">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DF80A8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2B8B100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4476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467EA3A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2427DB9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548235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C0179E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6B6D373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391F41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5CB2131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6DEFA4C7">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55B4B7C3">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6929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974" w:type="dxa"/>
            <w:vMerge w:val="continue"/>
            <w:noWrap w:val="0"/>
            <w:vAlign w:val="center"/>
          </w:tcPr>
          <w:p w14:paraId="0CF7A75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2AAD7C3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C8E29D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6FA361E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07B63A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150CDD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26AAAF2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FC4DC1F">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2AD2E92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1926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restart"/>
            <w:noWrap w:val="0"/>
            <w:vAlign w:val="center"/>
          </w:tcPr>
          <w:p w14:paraId="1BC04284">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技术</w:t>
            </w:r>
          </w:p>
          <w:p w14:paraId="210A29E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人员</w:t>
            </w:r>
          </w:p>
        </w:tc>
        <w:tc>
          <w:tcPr>
            <w:tcW w:w="974" w:type="dxa"/>
            <w:noWrap w:val="0"/>
            <w:vAlign w:val="top"/>
          </w:tcPr>
          <w:p w14:paraId="38FE0FA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0AD43D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6A92B8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A1F08A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49F303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15AD403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2B28D35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286280A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16BA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32D5CA8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3C68C86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356C781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E47D12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3A58A5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319936D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6F34A755">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23E1843">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629CE1D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112B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center"/>
          </w:tcPr>
          <w:p w14:paraId="74175221">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974" w:type="dxa"/>
            <w:noWrap w:val="0"/>
            <w:vAlign w:val="top"/>
          </w:tcPr>
          <w:p w14:paraId="02D125C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DF51EE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416646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B5C446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7A5467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5D3AAB0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7E75ABE">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7083FBF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062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974" w:type="dxa"/>
            <w:vMerge w:val="restart"/>
            <w:noWrap w:val="0"/>
            <w:vAlign w:val="center"/>
          </w:tcPr>
          <w:p w14:paraId="3E2A80E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服务</w:t>
            </w:r>
          </w:p>
          <w:p w14:paraId="2AACA49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人员</w:t>
            </w:r>
          </w:p>
        </w:tc>
        <w:tc>
          <w:tcPr>
            <w:tcW w:w="974" w:type="dxa"/>
            <w:noWrap w:val="0"/>
            <w:vAlign w:val="top"/>
          </w:tcPr>
          <w:p w14:paraId="6CFE7FC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5F4135E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FAC0D7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65E18D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3E1EDE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471FBFC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BC64AA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38529AF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365A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dxa"/>
            <w:vMerge w:val="continue"/>
            <w:noWrap w:val="0"/>
            <w:vAlign w:val="top"/>
          </w:tcPr>
          <w:p w14:paraId="65CAF50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361FB4D8">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F730F1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2B8CAD5">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B0E97FA">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03B96F52">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03A1DCA9">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DBD4E2D">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41E7CF8C">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r w14:paraId="3A2A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74" w:type="dxa"/>
            <w:vMerge w:val="continue"/>
            <w:noWrap w:val="0"/>
            <w:vAlign w:val="top"/>
          </w:tcPr>
          <w:p w14:paraId="2AD22AD4">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57F9DC3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72F199E">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A5C4026">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1C632F40">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4C74C443">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4" w:type="dxa"/>
            <w:noWrap w:val="0"/>
            <w:vAlign w:val="top"/>
          </w:tcPr>
          <w:p w14:paraId="692547DB">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5" w:type="dxa"/>
            <w:noWrap w:val="0"/>
            <w:vAlign w:val="top"/>
          </w:tcPr>
          <w:p w14:paraId="77748282">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c>
          <w:tcPr>
            <w:tcW w:w="978" w:type="dxa"/>
            <w:noWrap w:val="0"/>
            <w:vAlign w:val="top"/>
          </w:tcPr>
          <w:p w14:paraId="76B16121">
            <w:pPr>
              <w:keepNext w:val="0"/>
              <w:keepLines w:val="0"/>
              <w:suppressLineNumbers w:val="0"/>
              <w:shd w:val="clear" w:color="auto" w:fill="auto"/>
              <w:spacing w:before="0" w:beforeAutospacing="0" w:after="0" w:afterAutospacing="0"/>
              <w:ind w:left="0" w:right="0"/>
              <w:rPr>
                <w:rFonts w:hint="eastAsia" w:hAnsi="宋体" w:cs="宋体"/>
                <w:color w:val="auto"/>
                <w:sz w:val="24"/>
                <w:szCs w:val="20"/>
                <w:highlight w:val="none"/>
              </w:rPr>
            </w:pPr>
          </w:p>
        </w:tc>
      </w:tr>
    </w:tbl>
    <w:p w14:paraId="0632D9BC">
      <w:pPr>
        <w:shd w:val="clear" w:color="auto" w:fill="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注：供应商根据自身实际情况填写，对不涉及的内容可填写“/”。</w:t>
      </w:r>
    </w:p>
    <w:p w14:paraId="6D52AD09">
      <w:pPr>
        <w:shd w:val="clear" w:color="auto" w:fill="auto"/>
        <w:ind w:firstLine="480" w:firstLineChars="200"/>
        <w:jc w:val="left"/>
        <w:outlineLvl w:val="9"/>
        <w:rPr>
          <w:rFonts w:hint="eastAsia" w:ascii="宋体" w:hAnsi="宋体" w:eastAsia="宋体" w:cs="宋体"/>
          <w:color w:val="auto"/>
          <w:sz w:val="24"/>
          <w:highlight w:val="none"/>
        </w:rPr>
      </w:pPr>
    </w:p>
    <w:p w14:paraId="0A617DD0">
      <w:pPr>
        <w:shd w:val="clear" w:color="auto" w:fill="auto"/>
        <w:outlineLvl w:val="9"/>
        <w:rPr>
          <w:rFonts w:hint="eastAsia" w:hAnsi="宋体" w:cs="宋体"/>
          <w:color w:val="auto"/>
          <w:sz w:val="24"/>
          <w:highlight w:val="none"/>
        </w:rPr>
      </w:pPr>
    </w:p>
    <w:p w14:paraId="61836F3F">
      <w:pPr>
        <w:shd w:val="clear" w:color="auto" w:fill="auto"/>
        <w:outlineLvl w:val="9"/>
        <w:rPr>
          <w:rFonts w:hint="eastAsia" w:hAnsi="宋体" w:cs="宋体"/>
          <w:color w:val="auto"/>
          <w:sz w:val="24"/>
          <w:highlight w:val="none"/>
        </w:rPr>
      </w:pPr>
    </w:p>
    <w:p w14:paraId="11022067">
      <w:pPr>
        <w:shd w:val="clear" w:color="auto" w:fill="auto"/>
        <w:ind w:firstLine="480" w:firstLineChars="200"/>
        <w:jc w:val="left"/>
        <w:outlineLvl w:val="9"/>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（盖单位公章）</w:t>
      </w:r>
    </w:p>
    <w:p w14:paraId="2017EA0A">
      <w:pPr>
        <w:shd w:val="clear" w:color="auto" w:fill="auto"/>
        <w:ind w:firstLine="480" w:firstLineChars="200"/>
        <w:jc w:val="left"/>
        <w:outlineLvl w:val="9"/>
        <w:rPr>
          <w:rFonts w:hint="eastAsia" w:hAnsi="宋体" w:cs="宋体"/>
          <w:color w:val="auto"/>
          <w:sz w:val="24"/>
          <w:highlight w:val="none"/>
        </w:rPr>
      </w:pPr>
      <w:r>
        <w:rPr>
          <w:rFonts w:hint="eastAsia" w:hAnsi="宋体" w:cs="宋体"/>
          <w:color w:val="auto"/>
          <w:sz w:val="24"/>
          <w:highlight w:val="none"/>
        </w:rPr>
        <w:t xml:space="preserve">法定代表人或授权代表（签字）： </w:t>
      </w:r>
    </w:p>
    <w:p w14:paraId="733C5954">
      <w:pPr>
        <w:shd w:val="clear" w:color="auto" w:fill="auto"/>
        <w:adjustRightInd w:val="0"/>
        <w:spacing w:line="400" w:lineRule="exact"/>
        <w:ind w:firstLine="480" w:firstLineChars="200"/>
        <w:jc w:val="left"/>
        <w:outlineLvl w:val="9"/>
        <w:rPr>
          <w:rFonts w:hint="eastAsia" w:hAnsi="宋体" w:cs="宋体"/>
          <w:bCs/>
          <w:color w:val="auto"/>
          <w:sz w:val="24"/>
          <w:highlight w:val="none"/>
        </w:rPr>
      </w:pPr>
      <w:r>
        <w:rPr>
          <w:rFonts w:hint="eastAsia" w:hAnsi="宋体" w:cs="宋体"/>
          <w:bCs/>
          <w:color w:val="auto"/>
          <w:sz w:val="24"/>
          <w:highlight w:val="none"/>
        </w:rPr>
        <w:t>日  期：   年 月 日</w:t>
      </w:r>
    </w:p>
    <w:p w14:paraId="45DC8974">
      <w:pPr>
        <w:shd w:val="clear" w:color="auto" w:fill="auto"/>
        <w:spacing w:line="480" w:lineRule="auto"/>
        <w:outlineLvl w:val="1"/>
        <w:rPr>
          <w:rFonts w:hint="eastAsia" w:hAnsi="宋体" w:cs="宋体"/>
          <w:b/>
          <w:bCs/>
          <w:color w:val="auto"/>
          <w:sz w:val="28"/>
          <w:szCs w:val="28"/>
          <w:highlight w:val="none"/>
        </w:rPr>
      </w:pPr>
      <w:bookmarkStart w:id="605" w:name="_Toc3714"/>
      <w:bookmarkStart w:id="606" w:name="_Toc9814"/>
      <w:bookmarkStart w:id="607" w:name="_Toc28270"/>
      <w:bookmarkStart w:id="608" w:name="_Toc19522"/>
      <w:bookmarkStart w:id="609" w:name="_Toc14834"/>
      <w:bookmarkStart w:id="610" w:name="_Toc32623"/>
      <w:bookmarkStart w:id="611" w:name="_Toc13050"/>
      <w:bookmarkStart w:id="612" w:name="_Toc8130"/>
      <w:bookmarkStart w:id="613" w:name="_Toc30293"/>
      <w:bookmarkStart w:id="614" w:name="_Toc21859"/>
      <w:bookmarkStart w:id="615" w:name="_Toc1769"/>
      <w:r>
        <w:rPr>
          <w:rFonts w:hint="eastAsia" w:hAnsi="宋体" w:cs="宋体"/>
          <w:b/>
          <w:bCs/>
          <w:color w:val="auto"/>
          <w:sz w:val="28"/>
          <w:szCs w:val="28"/>
          <w:highlight w:val="none"/>
        </w:rPr>
        <w:br w:type="page"/>
      </w:r>
      <w:bookmarkStart w:id="616" w:name="_Toc18466"/>
      <w:bookmarkStart w:id="617" w:name="_Toc5965"/>
      <w:r>
        <w:rPr>
          <w:rFonts w:hint="eastAsia" w:hAnsi="宋体" w:cs="宋体"/>
          <w:b/>
          <w:bCs/>
          <w:color w:val="auto"/>
          <w:sz w:val="28"/>
          <w:szCs w:val="28"/>
          <w:highlight w:val="none"/>
        </w:rPr>
        <w:t>格式2-10  现场报价表</w:t>
      </w:r>
      <w:bookmarkEnd w:id="605"/>
      <w:bookmarkEnd w:id="606"/>
      <w:bookmarkEnd w:id="607"/>
      <w:bookmarkEnd w:id="608"/>
      <w:bookmarkEnd w:id="609"/>
      <w:bookmarkEnd w:id="610"/>
      <w:bookmarkEnd w:id="611"/>
      <w:bookmarkEnd w:id="612"/>
      <w:bookmarkEnd w:id="616"/>
      <w:bookmarkEnd w:id="617"/>
    </w:p>
    <w:p w14:paraId="281FD2E9">
      <w:pPr>
        <w:pStyle w:val="13"/>
        <w:numPr>
          <w:ilvl w:val="0"/>
          <w:numId w:val="0"/>
        </w:numPr>
        <w:shd w:val="clear" w:color="auto" w:fill="auto"/>
        <w:ind w:left="120" w:right="235" w:rightChars="6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8"/>
          <w:szCs w:val="28"/>
          <w:highlight w:val="none"/>
        </w:rPr>
        <w:t>轮报价/最后报价(根据磋商实际情况选择)</w:t>
      </w:r>
      <w:bookmarkEnd w:id="566"/>
      <w:bookmarkEnd w:id="567"/>
      <w:bookmarkEnd w:id="613"/>
      <w:bookmarkEnd w:id="614"/>
      <w:bookmarkEnd w:id="615"/>
    </w:p>
    <w:p w14:paraId="1C5C6D54">
      <w:pPr>
        <w:shd w:val="clear" w:color="auto" w:fill="auto"/>
        <w:rPr>
          <w:rFonts w:hint="eastAsia" w:hAnsi="宋体" w:cs="宋体"/>
          <w:color w:val="auto"/>
          <w:highlight w:val="none"/>
        </w:rPr>
      </w:pPr>
    </w:p>
    <w:p w14:paraId="70C75E2E">
      <w:pPr>
        <w:shd w:val="clear" w:color="auto" w:fill="auto"/>
        <w:rPr>
          <w:rFonts w:hint="eastAsia" w:hAnsi="宋体" w:cs="宋体"/>
          <w:color w:val="auto"/>
          <w:highlight w:val="none"/>
        </w:rPr>
      </w:pPr>
    </w:p>
    <w:p w14:paraId="1B637869">
      <w:pPr>
        <w:pStyle w:val="13"/>
        <w:numPr>
          <w:ilvl w:val="0"/>
          <w:numId w:val="0"/>
        </w:numPr>
        <w:shd w:val="clear" w:color="auto" w:fill="auto"/>
        <w:ind w:left="120" w:right="235" w:rightChars="6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一、关于报价表的说明：</w:t>
      </w:r>
    </w:p>
    <w:p w14:paraId="4B3453AA">
      <w:pPr>
        <w:pStyle w:val="7"/>
        <w:shd w:val="clear" w:color="auto" w:fill="auto"/>
        <w:spacing w:before="154" w:line="288" w:lineRule="auto"/>
        <w:ind w:left="120" w:right="235" w:rightChars="69"/>
        <w:rPr>
          <w:rFonts w:hint="eastAsia"/>
          <w:b w:val="0"/>
          <w:bCs w:val="0"/>
          <w:color w:val="auto"/>
          <w:highlight w:val="none"/>
        </w:rPr>
      </w:pPr>
      <w:r>
        <w:rPr>
          <w:rFonts w:hint="eastAsia"/>
          <w:b w:val="0"/>
          <w:bCs w:val="0"/>
          <w:color w:val="auto"/>
          <w:highlight w:val="none"/>
        </w:rPr>
        <w:t>1、此报价表不需要封装在响应文件中，需供应商单独携带2份以上到磋商现场进行报价；</w:t>
      </w:r>
    </w:p>
    <w:p w14:paraId="3C2E23FE">
      <w:pPr>
        <w:pStyle w:val="7"/>
        <w:shd w:val="clear" w:color="auto" w:fill="auto"/>
        <w:spacing w:before="154" w:line="288" w:lineRule="auto"/>
        <w:ind w:left="120" w:right="235" w:rightChars="69"/>
        <w:rPr>
          <w:rFonts w:hint="eastAsia"/>
          <w:b w:val="0"/>
          <w:bCs w:val="0"/>
          <w:color w:val="auto"/>
          <w:highlight w:val="none"/>
        </w:rPr>
      </w:pPr>
      <w:r>
        <w:rPr>
          <w:rFonts w:hint="eastAsia"/>
          <w:b w:val="0"/>
          <w:bCs w:val="0"/>
          <w:color w:val="auto"/>
          <w:highlight w:val="none"/>
        </w:rPr>
        <w:t>2、报价表是在通过相关评审后，向评审委员会单独密封递交的文件，需由法定代表人或授权代表签字；</w:t>
      </w:r>
    </w:p>
    <w:p w14:paraId="13E9B998">
      <w:pPr>
        <w:shd w:val="clear" w:color="auto" w:fill="auto"/>
        <w:spacing w:before="36" w:line="288" w:lineRule="auto"/>
        <w:ind w:left="120" w:right="235" w:rightChars="69"/>
        <w:jc w:val="left"/>
        <w:rPr>
          <w:rFonts w:hint="eastAsia" w:hAnsi="宋体" w:cs="宋体"/>
          <w:color w:val="auto"/>
          <w:sz w:val="24"/>
          <w:highlight w:val="none"/>
        </w:rPr>
      </w:pPr>
      <w:r>
        <w:rPr>
          <w:rFonts w:hint="eastAsia" w:hAnsi="宋体" w:cs="宋体"/>
          <w:color w:val="auto"/>
          <w:sz w:val="24"/>
          <w:highlight w:val="none"/>
        </w:rPr>
        <w:t>3、报价表可以供应商的法定代表人或授权代表在报价时填写；</w:t>
      </w:r>
    </w:p>
    <w:p w14:paraId="5FB5379F">
      <w:pPr>
        <w:shd w:val="clear" w:color="auto" w:fill="auto"/>
        <w:spacing w:before="36" w:line="288" w:lineRule="auto"/>
        <w:ind w:left="120" w:right="235" w:rightChars="69"/>
        <w:jc w:val="left"/>
        <w:rPr>
          <w:rFonts w:hint="eastAsia" w:hAnsi="宋体" w:cs="宋体"/>
          <w:b/>
          <w:bCs/>
          <w:color w:val="auto"/>
          <w:sz w:val="24"/>
          <w:highlight w:val="none"/>
        </w:rPr>
      </w:pPr>
      <w:r>
        <w:rPr>
          <w:rFonts w:hint="eastAsia" w:hAnsi="宋体" w:cs="宋体"/>
          <w:color w:val="auto"/>
          <w:sz w:val="24"/>
          <w:highlight w:val="none"/>
        </w:rPr>
        <w:t>4、供应商在未提高响应文件中承诺的服务质量的情况下，其报价不得高于对该项目之前的报价。</w:t>
      </w:r>
    </w:p>
    <w:p w14:paraId="180A0055">
      <w:pPr>
        <w:pStyle w:val="13"/>
        <w:numPr>
          <w:ilvl w:val="0"/>
          <w:numId w:val="0"/>
        </w:numPr>
        <w:shd w:val="clear" w:color="auto" w:fill="auto"/>
        <w:spacing w:before="36"/>
        <w:ind w:right="235" w:rightChars="6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二、报价表格式：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7146"/>
      </w:tblGrid>
      <w:tr w14:paraId="642D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974" w:type="dxa"/>
            <w:noWrap w:val="0"/>
            <w:vAlign w:val="center"/>
          </w:tcPr>
          <w:p w14:paraId="4C904C05">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bookmarkStart w:id="618" w:name="注：1. 报价应是最终采购人验收合格后的总价，及磋商文件规定的其它费用。"/>
            <w:bookmarkEnd w:id="618"/>
            <w:r>
              <w:rPr>
                <w:rFonts w:hint="eastAsia" w:ascii="宋体" w:hAnsi="宋体" w:eastAsia="宋体" w:cs="宋体"/>
                <w:b/>
                <w:bCs/>
                <w:color w:val="auto"/>
                <w:sz w:val="24"/>
                <w:szCs w:val="20"/>
                <w:highlight w:val="none"/>
              </w:rPr>
              <w:t>项目名称</w:t>
            </w:r>
          </w:p>
        </w:tc>
        <w:tc>
          <w:tcPr>
            <w:tcW w:w="7146" w:type="dxa"/>
            <w:noWrap w:val="0"/>
            <w:vAlign w:val="center"/>
          </w:tcPr>
          <w:p w14:paraId="18EE0045">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0F27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74" w:type="dxa"/>
            <w:noWrap w:val="0"/>
            <w:vAlign w:val="center"/>
          </w:tcPr>
          <w:p w14:paraId="2E316095">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项目编号</w:t>
            </w:r>
          </w:p>
        </w:tc>
        <w:tc>
          <w:tcPr>
            <w:tcW w:w="7146" w:type="dxa"/>
            <w:noWrap w:val="0"/>
            <w:vAlign w:val="center"/>
          </w:tcPr>
          <w:p w14:paraId="3C5EEF6F">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618A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74" w:type="dxa"/>
            <w:noWrap w:val="0"/>
            <w:vAlign w:val="center"/>
          </w:tcPr>
          <w:p w14:paraId="705EF24B">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包号</w:t>
            </w:r>
          </w:p>
        </w:tc>
        <w:tc>
          <w:tcPr>
            <w:tcW w:w="7146" w:type="dxa"/>
            <w:noWrap w:val="0"/>
            <w:vAlign w:val="center"/>
          </w:tcPr>
          <w:p w14:paraId="16992BEE">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7EF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974" w:type="dxa"/>
            <w:noWrap w:val="0"/>
            <w:vAlign w:val="center"/>
          </w:tcPr>
          <w:p w14:paraId="46D9BE73">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供应商      名称</w:t>
            </w:r>
          </w:p>
        </w:tc>
        <w:tc>
          <w:tcPr>
            <w:tcW w:w="7146" w:type="dxa"/>
            <w:noWrap w:val="0"/>
            <w:vAlign w:val="center"/>
          </w:tcPr>
          <w:p w14:paraId="1B43A669">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p>
        </w:tc>
      </w:tr>
      <w:tr w14:paraId="7E0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974" w:type="dxa"/>
            <w:noWrap w:val="0"/>
            <w:vAlign w:val="center"/>
          </w:tcPr>
          <w:p w14:paraId="485F7D02">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报价（人民币）单价报价合计金额</w:t>
            </w:r>
          </w:p>
        </w:tc>
        <w:tc>
          <w:tcPr>
            <w:tcW w:w="7146" w:type="dxa"/>
            <w:noWrap w:val="0"/>
            <w:vAlign w:val="center"/>
          </w:tcPr>
          <w:p w14:paraId="3D8591D0">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rPr>
                <w:rFonts w:hint="eastAsia" w:ascii="宋体" w:hAnsi="宋体" w:eastAsia="宋体" w:cs="宋体"/>
                <w:b/>
                <w:bCs/>
                <w:color w:val="auto"/>
                <w:sz w:val="24"/>
                <w:szCs w:val="20"/>
                <w:highlight w:val="none"/>
                <w:u w:val="single"/>
              </w:rPr>
            </w:pPr>
            <w:r>
              <w:rPr>
                <w:rFonts w:hint="eastAsia" w:ascii="宋体" w:hAnsi="宋体" w:eastAsia="宋体" w:cs="宋体"/>
                <w:b/>
                <w:bCs/>
                <w:color w:val="auto"/>
                <w:sz w:val="24"/>
                <w:szCs w:val="20"/>
                <w:highlight w:val="none"/>
              </w:rPr>
              <w:t>小写：</w:t>
            </w:r>
            <w:r>
              <w:rPr>
                <w:rFonts w:hint="eastAsia" w:ascii="宋体" w:hAnsi="宋体" w:eastAsia="宋体" w:cs="宋体"/>
                <w:b/>
                <w:bCs/>
                <w:color w:val="auto"/>
                <w:sz w:val="24"/>
                <w:szCs w:val="20"/>
                <w:highlight w:val="none"/>
                <w:u w:val="single"/>
              </w:rPr>
              <w:t xml:space="preserve">               </w:t>
            </w:r>
          </w:p>
          <w:p w14:paraId="7B02E897">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rPr>
                <w:rFonts w:hint="eastAsia" w:ascii="宋体" w:hAnsi="宋体" w:eastAsia="宋体" w:cs="宋体"/>
                <w:b/>
                <w:bCs/>
                <w:color w:val="auto"/>
                <w:sz w:val="24"/>
                <w:szCs w:val="20"/>
                <w:highlight w:val="none"/>
              </w:rPr>
            </w:pPr>
          </w:p>
          <w:p w14:paraId="293E01E0">
            <w:pPr>
              <w:pStyle w:val="13"/>
              <w:keepNext w:val="0"/>
              <w:keepLines w:val="0"/>
              <w:numPr>
                <w:ilvl w:val="0"/>
                <w:numId w:val="0"/>
              </w:numPr>
              <w:suppressLineNumbers w:val="0"/>
              <w:shd w:val="clear" w:color="auto" w:fill="auto"/>
              <w:tabs>
                <w:tab w:val="left" w:pos="780"/>
              </w:tabs>
              <w:spacing w:before="36" w:beforeAutospacing="0" w:after="0" w:afterAutospacing="0"/>
              <w:ind w:right="235" w:rightChars="69"/>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大写：</w:t>
            </w:r>
            <w:r>
              <w:rPr>
                <w:rFonts w:hint="eastAsia" w:ascii="宋体" w:hAnsi="宋体" w:eastAsia="宋体" w:cs="宋体"/>
                <w:b/>
                <w:bCs/>
                <w:color w:val="auto"/>
                <w:sz w:val="24"/>
                <w:szCs w:val="20"/>
                <w:highlight w:val="none"/>
                <w:u w:val="single"/>
              </w:rPr>
              <w:t xml:space="preserve">                   </w:t>
            </w:r>
          </w:p>
        </w:tc>
      </w:tr>
    </w:tbl>
    <w:p w14:paraId="2D24B9E5">
      <w:pPr>
        <w:pStyle w:val="13"/>
        <w:numPr>
          <w:ilvl w:val="0"/>
          <w:numId w:val="0"/>
        </w:numPr>
        <w:shd w:val="clear" w:color="auto" w:fill="auto"/>
        <w:spacing w:before="11" w:line="276" w:lineRule="auto"/>
        <w:ind w:right="235" w:rightChars="6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由成交供应商参考现行相关收费标准，并依据自身实力及市场行情自行报价。供应商的报价应是供应商完成本项目要求的全部工作内容的总价，包括但不限于本项目所涉及的人工（包含工资、节假日加班费、五险一金及福利费用)、服装、器具、差旅、保险、税金、合理利润、代理服务费及完成本项目磋商文件规定的其他所需的一切费用。</w:t>
      </w:r>
    </w:p>
    <w:p w14:paraId="10343EB8">
      <w:pPr>
        <w:shd w:val="clear" w:color="auto" w:fill="auto"/>
        <w:rPr>
          <w:rFonts w:hint="eastAsia" w:hAnsi="宋体" w:cs="宋体"/>
          <w:color w:val="auto"/>
          <w:highlight w:val="none"/>
        </w:rPr>
      </w:pPr>
    </w:p>
    <w:p w14:paraId="18351F8D">
      <w:pPr>
        <w:shd w:val="clear" w:color="auto" w:fill="auto"/>
        <w:ind w:firstLine="480" w:firstLineChars="200"/>
        <w:jc w:val="left"/>
        <w:rPr>
          <w:rFonts w:hint="eastAsia" w:hAnsi="宋体" w:cs="宋体"/>
          <w:color w:val="auto"/>
          <w:sz w:val="24"/>
          <w:highlight w:val="none"/>
        </w:rPr>
      </w:pPr>
    </w:p>
    <w:p w14:paraId="1C332AB1">
      <w:pPr>
        <w:shd w:val="clear" w:color="auto" w:fill="auto"/>
        <w:ind w:firstLine="480" w:firstLineChars="200"/>
        <w:jc w:val="left"/>
        <w:rPr>
          <w:rFonts w:hint="eastAsia"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p>
    <w:p w14:paraId="3410BA27">
      <w:pPr>
        <w:shd w:val="clear" w:color="auto" w:fill="auto"/>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 xml:space="preserve">法定代表人或授权代表（签字）： </w:t>
      </w:r>
    </w:p>
    <w:p w14:paraId="6C5DA4C8">
      <w:pPr>
        <w:shd w:val="clear" w:color="auto" w:fill="auto"/>
        <w:adjustRightInd w:val="0"/>
        <w:spacing w:line="360" w:lineRule="auto"/>
        <w:ind w:firstLine="480" w:firstLineChars="200"/>
        <w:jc w:val="left"/>
        <w:rPr>
          <w:rFonts w:hint="eastAsia" w:hAnsi="宋体" w:cs="宋体"/>
          <w:b/>
          <w:bCs/>
          <w:color w:val="auto"/>
          <w:sz w:val="28"/>
          <w:szCs w:val="28"/>
          <w:highlight w:val="none"/>
        </w:rPr>
      </w:pPr>
      <w:r>
        <w:rPr>
          <w:rFonts w:hint="eastAsia" w:hAnsi="宋体" w:cs="宋体"/>
          <w:bCs/>
          <w:color w:val="auto"/>
          <w:sz w:val="24"/>
          <w:highlight w:val="none"/>
        </w:rPr>
        <w:t>日  期：  年  月  日</w:t>
      </w:r>
    </w:p>
    <w:p w14:paraId="65A39272">
      <w:pPr>
        <w:shd w:val="clear" w:color="auto" w:fill="auto"/>
        <w:spacing w:line="480" w:lineRule="auto"/>
        <w:outlineLvl w:val="1"/>
        <w:rPr>
          <w:rFonts w:hint="eastAsia" w:hAnsi="宋体" w:cs="宋体"/>
          <w:color w:val="auto"/>
          <w:highlight w:val="none"/>
        </w:rPr>
      </w:pPr>
      <w:bookmarkStart w:id="619" w:name="_Toc18602"/>
      <w:bookmarkStart w:id="620" w:name="_Toc14620"/>
      <w:bookmarkStart w:id="621" w:name="_Toc4851"/>
      <w:r>
        <w:rPr>
          <w:rFonts w:hint="eastAsia" w:hAnsi="宋体" w:cs="宋体"/>
          <w:b/>
          <w:bCs/>
          <w:color w:val="auto"/>
          <w:sz w:val="28"/>
          <w:szCs w:val="28"/>
          <w:highlight w:val="none"/>
        </w:rPr>
        <w:t>格式2-11 现场报价分项明细表</w:t>
      </w:r>
      <w:bookmarkEnd w:id="619"/>
      <w:bookmarkEnd w:id="620"/>
      <w:bookmarkEnd w:id="621"/>
    </w:p>
    <w:p w14:paraId="1F75D37D">
      <w:pPr>
        <w:shd w:val="clear" w:color="auto" w:fill="auto"/>
        <w:rPr>
          <w:rFonts w:hint="eastAsia" w:hAnsi="宋体" w:cs="宋体"/>
          <w:color w:val="auto"/>
          <w:sz w:val="24"/>
          <w:szCs w:val="24"/>
          <w:highlight w:val="none"/>
        </w:rPr>
      </w:pPr>
      <w:r>
        <w:rPr>
          <w:rFonts w:hint="eastAsia" w:hAnsi="宋体" w:cs="宋体"/>
          <w:color w:val="auto"/>
          <w:sz w:val="24"/>
          <w:szCs w:val="24"/>
          <w:highlight w:val="none"/>
        </w:rPr>
        <w:t>项目名称：</w:t>
      </w:r>
    </w:p>
    <w:p w14:paraId="6D664324">
      <w:pPr>
        <w:pStyle w:val="13"/>
        <w:numPr>
          <w:ilvl w:val="0"/>
          <w:numId w:val="0"/>
        </w:num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28"/>
        <w:tblW w:w="5175" w:type="pct"/>
        <w:tblInd w:w="0" w:type="dxa"/>
        <w:tblLayout w:type="autofit"/>
        <w:tblCellMar>
          <w:top w:w="0" w:type="dxa"/>
          <w:left w:w="108" w:type="dxa"/>
          <w:bottom w:w="0" w:type="dxa"/>
          <w:right w:w="108" w:type="dxa"/>
        </w:tblCellMar>
      </w:tblPr>
      <w:tblGrid>
        <w:gridCol w:w="695"/>
        <w:gridCol w:w="1185"/>
        <w:gridCol w:w="1517"/>
        <w:gridCol w:w="1344"/>
        <w:gridCol w:w="917"/>
        <w:gridCol w:w="917"/>
        <w:gridCol w:w="889"/>
        <w:gridCol w:w="2030"/>
      </w:tblGrid>
      <w:tr w14:paraId="6113E9E2">
        <w:tblPrEx>
          <w:tblCellMar>
            <w:top w:w="0" w:type="dxa"/>
            <w:left w:w="108" w:type="dxa"/>
            <w:bottom w:w="0" w:type="dxa"/>
            <w:right w:w="108" w:type="dxa"/>
          </w:tblCellMar>
        </w:tblPrEx>
        <w:trPr>
          <w:trHeight w:val="810" w:hRule="atLeast"/>
        </w:trPr>
        <w:tc>
          <w:tcPr>
            <w:tcW w:w="366"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FE84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序号</w:t>
            </w:r>
          </w:p>
        </w:tc>
        <w:tc>
          <w:tcPr>
            <w:tcW w:w="624" w:type="pct"/>
            <w:tcBorders>
              <w:top w:val="single" w:color="auto" w:sz="4" w:space="0"/>
              <w:left w:val="nil"/>
              <w:bottom w:val="single" w:color="auto" w:sz="4" w:space="0"/>
              <w:right w:val="single" w:color="auto" w:sz="4" w:space="0"/>
            </w:tcBorders>
            <w:shd w:val="clear" w:color="000000" w:fill="FFFFFF"/>
            <w:noWrap w:val="0"/>
            <w:vAlign w:val="center"/>
          </w:tcPr>
          <w:p w14:paraId="33D2A0D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产品名称</w:t>
            </w:r>
          </w:p>
        </w:tc>
        <w:tc>
          <w:tcPr>
            <w:tcW w:w="799" w:type="pct"/>
            <w:tcBorders>
              <w:top w:val="single" w:color="auto" w:sz="4" w:space="0"/>
              <w:left w:val="nil"/>
              <w:bottom w:val="single" w:color="auto" w:sz="4" w:space="0"/>
              <w:right w:val="single" w:color="auto" w:sz="4" w:space="0"/>
            </w:tcBorders>
            <w:shd w:val="clear" w:color="000000" w:fill="FFFFFF"/>
            <w:noWrap w:val="0"/>
            <w:vAlign w:val="center"/>
          </w:tcPr>
          <w:p w14:paraId="6014114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生产厂家名称</w:t>
            </w:r>
          </w:p>
        </w:tc>
        <w:tc>
          <w:tcPr>
            <w:tcW w:w="708" w:type="pct"/>
            <w:tcBorders>
              <w:top w:val="single" w:color="auto" w:sz="4" w:space="0"/>
              <w:left w:val="nil"/>
              <w:bottom w:val="single" w:color="auto" w:sz="4" w:space="0"/>
              <w:right w:val="single" w:color="auto" w:sz="4" w:space="0"/>
            </w:tcBorders>
            <w:shd w:val="clear" w:color="000000" w:fill="FFFFFF"/>
            <w:noWrap w:val="0"/>
            <w:vAlign w:val="center"/>
          </w:tcPr>
          <w:p w14:paraId="0E3A294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规格型号</w:t>
            </w:r>
          </w:p>
        </w:tc>
        <w:tc>
          <w:tcPr>
            <w:tcW w:w="483" w:type="pct"/>
            <w:tcBorders>
              <w:top w:val="single" w:color="auto" w:sz="4" w:space="0"/>
              <w:left w:val="nil"/>
              <w:bottom w:val="single" w:color="auto" w:sz="4" w:space="0"/>
              <w:right w:val="single" w:color="auto" w:sz="4" w:space="0"/>
            </w:tcBorders>
            <w:shd w:val="clear" w:color="000000" w:fill="FFFFFF"/>
            <w:noWrap w:val="0"/>
            <w:vAlign w:val="center"/>
          </w:tcPr>
          <w:p w14:paraId="1D09187A">
            <w:pPr>
              <w:keepNext w:val="0"/>
              <w:keepLines w:val="0"/>
              <w:suppressLineNumbers w:val="0"/>
              <w:shd w:val="clear" w:color="auto" w:fill="auto"/>
              <w:spacing w:before="0" w:beforeAutospacing="0" w:after="0" w:afterAutospacing="0"/>
              <w:ind w:left="0" w:right="0"/>
              <w:jc w:val="center"/>
              <w:rPr>
                <w:rFonts w:hint="eastAsia" w:hAnsi="宋体" w:eastAsia="宋体" w:cs="宋体"/>
                <w:color w:val="auto"/>
                <w:sz w:val="24"/>
                <w:szCs w:val="20"/>
                <w:highlight w:val="none"/>
                <w:lang w:val="en-US" w:eastAsia="zh-CN"/>
              </w:rPr>
            </w:pPr>
            <w:r>
              <w:rPr>
                <w:rFonts w:hint="eastAsia" w:hAnsi="宋体" w:cs="宋体"/>
                <w:color w:val="auto"/>
                <w:sz w:val="24"/>
                <w:szCs w:val="20"/>
                <w:highlight w:val="none"/>
                <w:lang w:val="en-US" w:eastAsia="zh-CN"/>
              </w:rPr>
              <w:t>品牌</w:t>
            </w:r>
          </w:p>
        </w:tc>
        <w:tc>
          <w:tcPr>
            <w:tcW w:w="483" w:type="pct"/>
            <w:tcBorders>
              <w:top w:val="single" w:color="auto" w:sz="4" w:space="0"/>
              <w:left w:val="nil"/>
              <w:bottom w:val="single" w:color="auto" w:sz="4" w:space="0"/>
              <w:right w:val="single" w:color="auto" w:sz="4" w:space="0"/>
            </w:tcBorders>
            <w:shd w:val="clear" w:color="000000" w:fill="FFFFFF"/>
            <w:noWrap w:val="0"/>
            <w:vAlign w:val="center"/>
          </w:tcPr>
          <w:p w14:paraId="33E74B7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单位</w:t>
            </w:r>
          </w:p>
        </w:tc>
        <w:tc>
          <w:tcPr>
            <w:tcW w:w="468" w:type="pct"/>
            <w:tcBorders>
              <w:top w:val="single" w:color="auto" w:sz="4" w:space="0"/>
              <w:left w:val="nil"/>
              <w:bottom w:val="single" w:color="auto" w:sz="4" w:space="0"/>
              <w:right w:val="single" w:color="auto" w:sz="4" w:space="0"/>
            </w:tcBorders>
            <w:shd w:val="clear" w:color="000000" w:fill="FFFFFF"/>
            <w:noWrap w:val="0"/>
            <w:vAlign w:val="center"/>
          </w:tcPr>
          <w:p w14:paraId="52EF119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单价</w:t>
            </w:r>
          </w:p>
        </w:tc>
        <w:tc>
          <w:tcPr>
            <w:tcW w:w="1064" w:type="pct"/>
            <w:tcBorders>
              <w:top w:val="single" w:color="auto" w:sz="4" w:space="0"/>
              <w:left w:val="nil"/>
              <w:bottom w:val="single" w:color="auto" w:sz="4" w:space="0"/>
              <w:right w:val="single" w:color="auto" w:sz="4" w:space="0"/>
            </w:tcBorders>
            <w:shd w:val="clear" w:color="000000" w:fill="FFFFFF"/>
            <w:noWrap w:val="0"/>
            <w:vAlign w:val="center"/>
          </w:tcPr>
          <w:p w14:paraId="1945DDF5">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注册（备案）证号</w:t>
            </w:r>
          </w:p>
        </w:tc>
      </w:tr>
      <w:tr w14:paraId="59C8799D">
        <w:tblPrEx>
          <w:tblCellMar>
            <w:top w:w="0" w:type="dxa"/>
            <w:left w:w="108" w:type="dxa"/>
            <w:bottom w:w="0" w:type="dxa"/>
            <w:right w:w="108" w:type="dxa"/>
          </w:tblCellMar>
        </w:tblPrEx>
        <w:trPr>
          <w:trHeight w:val="526"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81B306A">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1</w:t>
            </w:r>
          </w:p>
        </w:tc>
        <w:tc>
          <w:tcPr>
            <w:tcW w:w="624" w:type="pct"/>
            <w:tcBorders>
              <w:top w:val="single" w:color="auto" w:sz="4" w:space="0"/>
              <w:left w:val="nil"/>
              <w:bottom w:val="single" w:color="auto" w:sz="4" w:space="0"/>
              <w:right w:val="single" w:color="auto" w:sz="4" w:space="0"/>
            </w:tcBorders>
            <w:noWrap w:val="0"/>
            <w:vAlign w:val="center"/>
          </w:tcPr>
          <w:p w14:paraId="19DB262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99" w:type="pct"/>
            <w:tcBorders>
              <w:top w:val="single" w:color="auto" w:sz="4" w:space="0"/>
              <w:left w:val="nil"/>
              <w:bottom w:val="single" w:color="auto" w:sz="4" w:space="0"/>
              <w:right w:val="single" w:color="auto" w:sz="4" w:space="0"/>
            </w:tcBorders>
            <w:noWrap w:val="0"/>
            <w:vAlign w:val="center"/>
          </w:tcPr>
          <w:p w14:paraId="75A1EFB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08" w:type="pct"/>
            <w:tcBorders>
              <w:top w:val="single" w:color="auto" w:sz="4" w:space="0"/>
              <w:left w:val="nil"/>
              <w:bottom w:val="single" w:color="auto" w:sz="4" w:space="0"/>
              <w:right w:val="single" w:color="auto" w:sz="4" w:space="0"/>
            </w:tcBorders>
            <w:noWrap w:val="0"/>
            <w:vAlign w:val="center"/>
          </w:tcPr>
          <w:p w14:paraId="2D26030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single" w:color="auto" w:sz="4" w:space="0"/>
              <w:left w:val="nil"/>
              <w:bottom w:val="single" w:color="auto" w:sz="4" w:space="0"/>
              <w:right w:val="single" w:color="auto" w:sz="4" w:space="0"/>
            </w:tcBorders>
            <w:noWrap w:val="0"/>
            <w:vAlign w:val="center"/>
          </w:tcPr>
          <w:p w14:paraId="45F268B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single" w:color="auto" w:sz="4" w:space="0"/>
              <w:left w:val="nil"/>
              <w:bottom w:val="single" w:color="auto" w:sz="4" w:space="0"/>
              <w:right w:val="single" w:color="auto" w:sz="4" w:space="0"/>
            </w:tcBorders>
            <w:noWrap w:val="0"/>
            <w:vAlign w:val="center"/>
          </w:tcPr>
          <w:p w14:paraId="295D345B">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68" w:type="pct"/>
            <w:tcBorders>
              <w:top w:val="single" w:color="auto" w:sz="4" w:space="0"/>
              <w:left w:val="nil"/>
              <w:bottom w:val="single" w:color="auto" w:sz="4" w:space="0"/>
              <w:right w:val="single" w:color="auto" w:sz="4" w:space="0"/>
            </w:tcBorders>
            <w:noWrap w:val="0"/>
            <w:vAlign w:val="center"/>
          </w:tcPr>
          <w:p w14:paraId="325350E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064" w:type="pct"/>
            <w:tcBorders>
              <w:top w:val="single" w:color="auto" w:sz="4" w:space="0"/>
              <w:left w:val="nil"/>
              <w:bottom w:val="single" w:color="auto" w:sz="4" w:space="0"/>
              <w:right w:val="single" w:color="auto" w:sz="4" w:space="0"/>
            </w:tcBorders>
            <w:noWrap w:val="0"/>
            <w:vAlign w:val="center"/>
          </w:tcPr>
          <w:p w14:paraId="1F0E651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3780F602">
        <w:tblPrEx>
          <w:tblCellMar>
            <w:top w:w="0" w:type="dxa"/>
            <w:left w:w="108" w:type="dxa"/>
            <w:bottom w:w="0" w:type="dxa"/>
            <w:right w:w="108" w:type="dxa"/>
          </w:tblCellMar>
        </w:tblPrEx>
        <w:trPr>
          <w:trHeight w:val="736" w:hRule="atLeast"/>
        </w:trPr>
        <w:tc>
          <w:tcPr>
            <w:tcW w:w="366" w:type="pct"/>
            <w:tcBorders>
              <w:top w:val="nil"/>
              <w:left w:val="single" w:color="auto" w:sz="4" w:space="0"/>
              <w:bottom w:val="single" w:color="auto" w:sz="4" w:space="0"/>
              <w:right w:val="single" w:color="auto" w:sz="4" w:space="0"/>
            </w:tcBorders>
            <w:noWrap/>
            <w:vAlign w:val="center"/>
          </w:tcPr>
          <w:p w14:paraId="19C582F6">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2</w:t>
            </w:r>
          </w:p>
        </w:tc>
        <w:tc>
          <w:tcPr>
            <w:tcW w:w="624" w:type="pct"/>
            <w:tcBorders>
              <w:top w:val="nil"/>
              <w:left w:val="nil"/>
              <w:bottom w:val="single" w:color="auto" w:sz="4" w:space="0"/>
              <w:right w:val="single" w:color="auto" w:sz="4" w:space="0"/>
            </w:tcBorders>
            <w:noWrap w:val="0"/>
            <w:vAlign w:val="center"/>
          </w:tcPr>
          <w:p w14:paraId="4EE8B9F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99" w:type="pct"/>
            <w:tcBorders>
              <w:top w:val="nil"/>
              <w:left w:val="nil"/>
              <w:bottom w:val="single" w:color="auto" w:sz="4" w:space="0"/>
              <w:right w:val="single" w:color="auto" w:sz="4" w:space="0"/>
            </w:tcBorders>
            <w:noWrap w:val="0"/>
            <w:vAlign w:val="center"/>
          </w:tcPr>
          <w:p w14:paraId="0E85BE8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08" w:type="pct"/>
            <w:tcBorders>
              <w:top w:val="nil"/>
              <w:left w:val="nil"/>
              <w:bottom w:val="single" w:color="auto" w:sz="4" w:space="0"/>
              <w:right w:val="single" w:color="auto" w:sz="4" w:space="0"/>
            </w:tcBorders>
            <w:noWrap w:val="0"/>
            <w:vAlign w:val="center"/>
          </w:tcPr>
          <w:p w14:paraId="04E999ED">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36A44C3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4D7AB66A">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68" w:type="pct"/>
            <w:tcBorders>
              <w:top w:val="nil"/>
              <w:left w:val="nil"/>
              <w:bottom w:val="single" w:color="auto" w:sz="4" w:space="0"/>
              <w:right w:val="single" w:color="auto" w:sz="4" w:space="0"/>
            </w:tcBorders>
            <w:noWrap w:val="0"/>
            <w:vAlign w:val="center"/>
          </w:tcPr>
          <w:p w14:paraId="6DD43477">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064" w:type="pct"/>
            <w:tcBorders>
              <w:top w:val="nil"/>
              <w:left w:val="nil"/>
              <w:bottom w:val="single" w:color="auto" w:sz="4" w:space="0"/>
              <w:right w:val="single" w:color="auto" w:sz="4" w:space="0"/>
            </w:tcBorders>
            <w:noWrap w:val="0"/>
            <w:vAlign w:val="center"/>
          </w:tcPr>
          <w:p w14:paraId="3748299E">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36E4DF8F">
        <w:tblPrEx>
          <w:tblCellMar>
            <w:top w:w="0" w:type="dxa"/>
            <w:left w:w="108" w:type="dxa"/>
            <w:bottom w:w="0" w:type="dxa"/>
            <w:right w:w="108" w:type="dxa"/>
          </w:tblCellMar>
        </w:tblPrEx>
        <w:trPr>
          <w:trHeight w:val="1115" w:hRule="atLeast"/>
        </w:trPr>
        <w:tc>
          <w:tcPr>
            <w:tcW w:w="366" w:type="pct"/>
            <w:tcBorders>
              <w:top w:val="nil"/>
              <w:left w:val="single" w:color="auto" w:sz="4" w:space="0"/>
              <w:bottom w:val="single" w:color="auto" w:sz="4" w:space="0"/>
              <w:right w:val="single" w:color="auto" w:sz="4" w:space="0"/>
            </w:tcBorders>
            <w:noWrap/>
            <w:vAlign w:val="center"/>
          </w:tcPr>
          <w:p w14:paraId="3EF4901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3</w:t>
            </w:r>
          </w:p>
        </w:tc>
        <w:tc>
          <w:tcPr>
            <w:tcW w:w="624" w:type="pct"/>
            <w:tcBorders>
              <w:top w:val="nil"/>
              <w:left w:val="nil"/>
              <w:bottom w:val="single" w:color="auto" w:sz="4" w:space="0"/>
              <w:right w:val="single" w:color="auto" w:sz="4" w:space="0"/>
            </w:tcBorders>
            <w:noWrap w:val="0"/>
            <w:vAlign w:val="center"/>
          </w:tcPr>
          <w:p w14:paraId="13F1615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r>
              <w:rPr>
                <w:rFonts w:hint="eastAsia" w:hAnsi="宋体" w:cs="宋体"/>
                <w:color w:val="auto"/>
                <w:sz w:val="24"/>
                <w:szCs w:val="20"/>
                <w:highlight w:val="none"/>
              </w:rPr>
              <w:t>...</w:t>
            </w:r>
          </w:p>
        </w:tc>
        <w:tc>
          <w:tcPr>
            <w:tcW w:w="799" w:type="pct"/>
            <w:tcBorders>
              <w:top w:val="nil"/>
              <w:left w:val="nil"/>
              <w:bottom w:val="single" w:color="auto" w:sz="4" w:space="0"/>
              <w:right w:val="single" w:color="auto" w:sz="4" w:space="0"/>
            </w:tcBorders>
            <w:noWrap w:val="0"/>
            <w:vAlign w:val="center"/>
          </w:tcPr>
          <w:p w14:paraId="374C9702">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708" w:type="pct"/>
            <w:tcBorders>
              <w:top w:val="nil"/>
              <w:left w:val="nil"/>
              <w:bottom w:val="single" w:color="auto" w:sz="4" w:space="0"/>
              <w:right w:val="single" w:color="auto" w:sz="4" w:space="0"/>
            </w:tcBorders>
            <w:noWrap w:val="0"/>
            <w:vAlign w:val="center"/>
          </w:tcPr>
          <w:p w14:paraId="2A16D0B9">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691C5B5F">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83" w:type="pct"/>
            <w:tcBorders>
              <w:top w:val="nil"/>
              <w:left w:val="nil"/>
              <w:bottom w:val="single" w:color="auto" w:sz="4" w:space="0"/>
              <w:right w:val="single" w:color="auto" w:sz="4" w:space="0"/>
            </w:tcBorders>
            <w:noWrap w:val="0"/>
            <w:vAlign w:val="center"/>
          </w:tcPr>
          <w:p w14:paraId="454A204C">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468" w:type="pct"/>
            <w:tcBorders>
              <w:top w:val="nil"/>
              <w:left w:val="nil"/>
              <w:bottom w:val="single" w:color="auto" w:sz="4" w:space="0"/>
              <w:right w:val="single" w:color="auto" w:sz="4" w:space="0"/>
            </w:tcBorders>
            <w:noWrap w:val="0"/>
            <w:vAlign w:val="center"/>
          </w:tcPr>
          <w:p w14:paraId="5A320D58">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c>
          <w:tcPr>
            <w:tcW w:w="1064" w:type="pct"/>
            <w:tcBorders>
              <w:top w:val="nil"/>
              <w:left w:val="nil"/>
              <w:bottom w:val="single" w:color="auto" w:sz="4" w:space="0"/>
              <w:right w:val="single" w:color="auto" w:sz="4" w:space="0"/>
            </w:tcBorders>
            <w:noWrap w:val="0"/>
            <w:vAlign w:val="center"/>
          </w:tcPr>
          <w:p w14:paraId="1F3C43E3">
            <w:pPr>
              <w:keepNext w:val="0"/>
              <w:keepLines w:val="0"/>
              <w:suppressLineNumbers w:val="0"/>
              <w:shd w:val="clear" w:color="auto" w:fill="auto"/>
              <w:spacing w:before="0" w:beforeAutospacing="0" w:after="0" w:afterAutospacing="0"/>
              <w:ind w:left="0" w:right="0"/>
              <w:jc w:val="center"/>
              <w:rPr>
                <w:rFonts w:hint="eastAsia" w:hAnsi="宋体" w:cs="宋体"/>
                <w:color w:val="auto"/>
                <w:sz w:val="24"/>
                <w:szCs w:val="20"/>
                <w:highlight w:val="none"/>
              </w:rPr>
            </w:pPr>
          </w:p>
        </w:tc>
      </w:tr>
      <w:tr w14:paraId="1CE081B6">
        <w:tblPrEx>
          <w:tblCellMar>
            <w:top w:w="0" w:type="dxa"/>
            <w:left w:w="108" w:type="dxa"/>
            <w:bottom w:w="0" w:type="dxa"/>
            <w:right w:w="108" w:type="dxa"/>
          </w:tblCellMar>
        </w:tblPrEx>
        <w:trPr>
          <w:trHeight w:val="111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AE8CBC5">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185CCEC5">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响应总价（</w:t>
            </w:r>
            <w:r>
              <w:rPr>
                <w:rFonts w:hint="eastAsia" w:hAnsi="宋体" w:cs="宋体"/>
                <w:color w:val="auto"/>
                <w:sz w:val="24"/>
                <w:szCs w:val="20"/>
                <w:highlight w:val="none"/>
              </w:rPr>
              <w:t>以上清单所有耗材单价合计</w:t>
            </w:r>
            <w:r>
              <w:rPr>
                <w:rFonts w:hint="eastAsia" w:hAnsi="宋体" w:cs="宋体"/>
                <w:b/>
                <w:bCs/>
                <w:color w:val="auto"/>
                <w:sz w:val="24"/>
                <w:szCs w:val="20"/>
                <w:highlight w:val="none"/>
              </w:rPr>
              <w:t>）：</w:t>
            </w:r>
          </w:p>
          <w:p w14:paraId="4792D144">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2422A667">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小写：</w:t>
            </w:r>
          </w:p>
          <w:p w14:paraId="2DB49EB7">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p>
          <w:p w14:paraId="53BB60D3">
            <w:pPr>
              <w:keepNext w:val="0"/>
              <w:keepLines w:val="0"/>
              <w:suppressLineNumbers w:val="0"/>
              <w:shd w:val="clear" w:color="auto" w:fill="auto"/>
              <w:spacing w:before="0" w:beforeAutospacing="0" w:after="0" w:afterAutospacing="0"/>
              <w:ind w:left="0" w:right="0"/>
              <w:rPr>
                <w:rFonts w:hint="eastAsia" w:hAnsi="宋体" w:cs="宋体"/>
                <w:b/>
                <w:bCs/>
                <w:color w:val="auto"/>
                <w:sz w:val="24"/>
                <w:szCs w:val="20"/>
                <w:highlight w:val="none"/>
              </w:rPr>
            </w:pPr>
            <w:r>
              <w:rPr>
                <w:rFonts w:hint="eastAsia" w:hAnsi="宋体" w:cs="宋体"/>
                <w:b/>
                <w:bCs/>
                <w:color w:val="auto"/>
                <w:sz w:val="24"/>
                <w:szCs w:val="20"/>
                <w:highlight w:val="none"/>
              </w:rPr>
              <w:t>大写：</w:t>
            </w:r>
          </w:p>
        </w:tc>
      </w:tr>
    </w:tbl>
    <w:p w14:paraId="4E2B46BE">
      <w:pPr>
        <w:widowControl/>
        <w:shd w:val="clear" w:color="auto" w:fill="auto"/>
        <w:jc w:val="left"/>
        <w:rPr>
          <w:rFonts w:hint="eastAsia" w:hAnsi="宋体" w:cs="宋体"/>
          <w:color w:val="auto"/>
          <w:sz w:val="24"/>
          <w:szCs w:val="24"/>
          <w:highlight w:val="none"/>
          <w:lang w:bidi="ar"/>
        </w:rPr>
      </w:pPr>
    </w:p>
    <w:p w14:paraId="41A1F8A0">
      <w:pPr>
        <w:widowControl/>
        <w:shd w:val="clear" w:color="auto" w:fill="auto"/>
        <w:jc w:val="left"/>
        <w:rPr>
          <w:rFonts w:hint="eastAsia" w:hAnsi="宋体" w:cs="宋体"/>
          <w:color w:val="auto"/>
          <w:sz w:val="24"/>
          <w:szCs w:val="24"/>
          <w:highlight w:val="none"/>
          <w:lang w:bidi="ar"/>
        </w:rPr>
      </w:pPr>
      <w:r>
        <w:rPr>
          <w:rFonts w:hint="eastAsia" w:hAnsi="宋体" w:cs="宋体"/>
          <w:color w:val="auto"/>
          <w:sz w:val="24"/>
          <w:szCs w:val="24"/>
          <w:highlight w:val="none"/>
          <w:lang w:bidi="ar"/>
        </w:rPr>
        <w:t>注:1.由成交供应商参考现行相关收费标准，并依据自身实力及市场行情自行报价。供应商的报价应是供应商完成本项目要求的全部工作内容的总价，包括但不限于本项目所涉及的人工（包含工资、节假日加班费、五险一金及福利费用)、服装、器具、差旅、保险、税金、合理利润、代理服务费及完成本项目磋商文件规定的其他所需的一切费用。</w:t>
      </w:r>
    </w:p>
    <w:p w14:paraId="79ABCAC6">
      <w:pPr>
        <w:widowControl/>
        <w:shd w:val="clear" w:color="auto" w:fill="auto"/>
        <w:ind w:firstLine="240" w:firstLineChars="100"/>
        <w:jc w:val="left"/>
        <w:rPr>
          <w:rFonts w:hint="eastAsia" w:hAnsi="宋体" w:cs="宋体"/>
          <w:color w:val="auto"/>
          <w:sz w:val="24"/>
          <w:szCs w:val="24"/>
          <w:highlight w:val="none"/>
          <w:lang w:bidi="ar"/>
        </w:rPr>
      </w:pPr>
      <w:r>
        <w:rPr>
          <w:rFonts w:hint="eastAsia" w:hAnsi="宋体" w:cs="宋体"/>
          <w:color w:val="auto"/>
          <w:sz w:val="24"/>
          <w:szCs w:val="24"/>
          <w:highlight w:val="none"/>
          <w:lang w:bidi="ar"/>
        </w:rPr>
        <w:t>2.“分项报价表”各分项报价合计应当与“现场报价表”报价合计相等。</w:t>
      </w:r>
    </w:p>
    <w:p w14:paraId="4F3B4B70">
      <w:pPr>
        <w:widowControl/>
        <w:shd w:val="clear" w:color="auto" w:fill="auto"/>
        <w:ind w:firstLine="240" w:firstLineChars="100"/>
        <w:jc w:val="left"/>
        <w:rPr>
          <w:rFonts w:hint="eastAsia" w:hAnsi="宋体" w:cs="宋体"/>
          <w:color w:val="auto"/>
          <w:sz w:val="24"/>
          <w:szCs w:val="24"/>
          <w:highlight w:val="none"/>
          <w:lang w:bidi="ar"/>
        </w:rPr>
      </w:pPr>
      <w:r>
        <w:rPr>
          <w:rFonts w:hint="eastAsia" w:hAnsi="宋体" w:cs="宋体"/>
          <w:color w:val="auto"/>
          <w:sz w:val="24"/>
          <w:szCs w:val="24"/>
          <w:highlight w:val="none"/>
          <w:lang w:bidi="ar"/>
        </w:rPr>
        <w:t>3.此表现场报价时需提供。</w:t>
      </w:r>
    </w:p>
    <w:p w14:paraId="4E66ED66">
      <w:pPr>
        <w:widowControl/>
        <w:shd w:val="clear" w:color="auto" w:fill="auto"/>
        <w:jc w:val="left"/>
        <w:rPr>
          <w:rFonts w:hint="eastAsia" w:hAnsi="宋体" w:cs="宋体"/>
          <w:color w:val="auto"/>
          <w:highlight w:val="none"/>
        </w:rPr>
      </w:pPr>
    </w:p>
    <w:p w14:paraId="01C92CA4">
      <w:pPr>
        <w:widowControl/>
        <w:shd w:val="clear" w:color="auto" w:fill="auto"/>
        <w:jc w:val="left"/>
        <w:rPr>
          <w:rFonts w:hint="eastAsia" w:hAnsi="宋体" w:cs="宋体"/>
          <w:b/>
          <w:bCs/>
          <w:color w:val="auto"/>
          <w:sz w:val="28"/>
          <w:szCs w:val="28"/>
          <w:highlight w:val="none"/>
          <w:lang w:bidi="ar"/>
        </w:rPr>
      </w:pPr>
    </w:p>
    <w:p w14:paraId="3251FDC7">
      <w:pPr>
        <w:widowControl/>
        <w:shd w:val="clear" w:color="auto" w:fill="auto"/>
        <w:jc w:val="left"/>
        <w:rPr>
          <w:rFonts w:hint="eastAsia" w:hAnsi="宋体" w:cs="宋体"/>
          <w:b/>
          <w:bCs/>
          <w:color w:val="auto"/>
          <w:sz w:val="28"/>
          <w:szCs w:val="28"/>
          <w:highlight w:val="none"/>
          <w:lang w:bidi="ar"/>
        </w:rPr>
      </w:pPr>
      <w:r>
        <w:rPr>
          <w:rFonts w:hint="eastAsia" w:hAnsi="宋体" w:cs="宋体"/>
          <w:b/>
          <w:bCs/>
          <w:color w:val="auto"/>
          <w:sz w:val="28"/>
          <w:szCs w:val="28"/>
          <w:highlight w:val="none"/>
          <w:lang w:bidi="ar"/>
        </w:rPr>
        <w:t>特别提示：该表是在供应商与磋商小组进行磋商后，密封装在信封内单独递交的，为节约时间务必提前准备。</w:t>
      </w:r>
    </w:p>
    <w:p w14:paraId="6CFD8D10">
      <w:pPr>
        <w:pStyle w:val="13"/>
        <w:numPr>
          <w:ilvl w:val="0"/>
          <w:numId w:val="0"/>
        </w:numPr>
        <w:shd w:val="clear" w:color="auto" w:fill="auto"/>
        <w:rPr>
          <w:rFonts w:hint="eastAsia" w:ascii="宋体" w:hAnsi="宋体" w:eastAsia="宋体" w:cs="宋体"/>
          <w:color w:val="auto"/>
          <w:highlight w:val="none"/>
        </w:rPr>
      </w:pPr>
    </w:p>
    <w:p w14:paraId="636B2F2F">
      <w:pPr>
        <w:pStyle w:val="14"/>
        <w:shd w:val="clear" w:color="auto" w:fill="auto"/>
        <w:ind w:firstLine="220"/>
        <w:rPr>
          <w:rFonts w:hint="eastAsia" w:ascii="宋体" w:hAnsi="宋体" w:eastAsia="宋体" w:cs="宋体"/>
          <w:color w:val="auto"/>
          <w:highlight w:val="none"/>
        </w:rPr>
        <w:sectPr>
          <w:headerReference r:id="rId5" w:type="default"/>
          <w:footerReference r:id="rId6" w:type="default"/>
          <w:pgSz w:w="11905" w:h="16838"/>
          <w:pgMar w:top="1440" w:right="1474" w:bottom="1440" w:left="1474" w:header="850" w:footer="992" w:gutter="0"/>
          <w:cols w:space="720" w:num="1"/>
          <w:rtlGutter w:val="1"/>
          <w:docGrid w:linePitch="312" w:charSpace="0"/>
        </w:sectPr>
      </w:pPr>
    </w:p>
    <w:p w14:paraId="19F0953B">
      <w:pPr>
        <w:shd w:val="clear" w:color="auto" w:fill="auto"/>
        <w:tabs>
          <w:tab w:val="left" w:pos="7665"/>
        </w:tabs>
        <w:spacing w:line="400" w:lineRule="exact"/>
        <w:jc w:val="center"/>
        <w:outlineLvl w:val="0"/>
        <w:rPr>
          <w:rFonts w:hint="eastAsia" w:hAnsi="宋体" w:cs="宋体"/>
          <w:b/>
          <w:bCs/>
          <w:color w:val="auto"/>
          <w:sz w:val="32"/>
          <w:szCs w:val="32"/>
          <w:highlight w:val="none"/>
        </w:rPr>
      </w:pPr>
      <w:bookmarkStart w:id="622" w:name="_Toc13094"/>
      <w:bookmarkStart w:id="623" w:name="_Toc17729"/>
      <w:bookmarkStart w:id="624" w:name="_Toc6995"/>
      <w:bookmarkStart w:id="625" w:name="_Toc26286"/>
      <w:bookmarkStart w:id="626" w:name="_Toc2182"/>
      <w:bookmarkStart w:id="627" w:name="_Toc20219"/>
      <w:bookmarkStart w:id="628" w:name="_Toc8101"/>
      <w:bookmarkStart w:id="629" w:name="_Toc9932"/>
      <w:bookmarkStart w:id="630" w:name="_Toc17329"/>
      <w:bookmarkStart w:id="631" w:name="_Toc23990"/>
      <w:bookmarkStart w:id="632" w:name="_Toc8772"/>
      <w:bookmarkStart w:id="633" w:name="_Toc18499"/>
      <w:bookmarkStart w:id="634" w:name="_Toc5417"/>
      <w:r>
        <w:rPr>
          <w:rFonts w:hint="eastAsia" w:hAnsi="宋体" w:cs="宋体"/>
          <w:b/>
          <w:bCs/>
          <w:color w:val="auto"/>
          <w:sz w:val="32"/>
          <w:szCs w:val="32"/>
          <w:highlight w:val="none"/>
        </w:rPr>
        <w:t>第七章 评审方法</w:t>
      </w:r>
      <w:bookmarkEnd w:id="622"/>
      <w:bookmarkEnd w:id="623"/>
      <w:bookmarkEnd w:id="624"/>
      <w:bookmarkEnd w:id="625"/>
      <w:bookmarkEnd w:id="626"/>
      <w:bookmarkEnd w:id="627"/>
      <w:bookmarkEnd w:id="628"/>
      <w:bookmarkEnd w:id="629"/>
      <w:bookmarkEnd w:id="630"/>
      <w:bookmarkEnd w:id="631"/>
      <w:bookmarkEnd w:id="632"/>
      <w:bookmarkEnd w:id="633"/>
      <w:bookmarkEnd w:id="634"/>
    </w:p>
    <w:p w14:paraId="6F92FD98">
      <w:pPr>
        <w:shd w:val="clear" w:color="auto" w:fill="auto"/>
        <w:spacing w:line="400" w:lineRule="exact"/>
        <w:ind w:firstLine="472" w:firstLineChars="196"/>
        <w:outlineLvl w:val="1"/>
        <w:rPr>
          <w:rFonts w:hint="eastAsia" w:hAnsi="宋体" w:cs="宋体"/>
          <w:b/>
          <w:bCs/>
          <w:color w:val="auto"/>
          <w:sz w:val="24"/>
          <w:highlight w:val="none"/>
        </w:rPr>
      </w:pPr>
      <w:bookmarkStart w:id="635" w:name="_Toc5414"/>
      <w:bookmarkStart w:id="636" w:name="_Toc20836"/>
      <w:bookmarkStart w:id="637" w:name="_Toc27253"/>
      <w:bookmarkStart w:id="638" w:name="_Toc24215"/>
      <w:bookmarkStart w:id="639" w:name="_Toc29168"/>
      <w:bookmarkStart w:id="640" w:name="_Toc18840"/>
      <w:bookmarkStart w:id="641" w:name="_Toc30219"/>
      <w:bookmarkStart w:id="642" w:name="_Toc6779"/>
      <w:bookmarkStart w:id="643" w:name="_Toc31502"/>
      <w:bookmarkStart w:id="644" w:name="_Toc26707"/>
      <w:r>
        <w:rPr>
          <w:rFonts w:hint="eastAsia" w:hAnsi="宋体" w:cs="宋体"/>
          <w:b/>
          <w:bCs/>
          <w:color w:val="auto"/>
          <w:sz w:val="24"/>
          <w:highlight w:val="none"/>
        </w:rPr>
        <w:t>1.总则</w:t>
      </w:r>
      <w:bookmarkEnd w:id="635"/>
      <w:bookmarkEnd w:id="636"/>
      <w:bookmarkEnd w:id="637"/>
      <w:bookmarkEnd w:id="638"/>
      <w:bookmarkEnd w:id="639"/>
      <w:bookmarkEnd w:id="640"/>
      <w:bookmarkEnd w:id="641"/>
      <w:bookmarkEnd w:id="642"/>
      <w:bookmarkEnd w:id="643"/>
      <w:bookmarkEnd w:id="644"/>
    </w:p>
    <w:p w14:paraId="23EE10A4">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1.1 根据相关法律制度，结合本采购项目特点制定本磋商方法。</w:t>
      </w:r>
    </w:p>
    <w:p w14:paraId="5535874A">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1.2 磋商工作由采购代理机构负责组织，具体磋商由采购代理机构依法组建的磋商小组负责。</w:t>
      </w:r>
    </w:p>
    <w:p w14:paraId="7ADC362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1.3 磋商工作应遵循公平、公正、科学及择优的原则，并以相同的磋商程序和标准对待所有的供应商。</w:t>
      </w:r>
    </w:p>
    <w:p w14:paraId="756A444A">
      <w:pPr>
        <w:shd w:val="clear" w:color="auto" w:fill="auto"/>
        <w:spacing w:line="400" w:lineRule="exact"/>
        <w:ind w:firstLine="472" w:firstLineChars="196"/>
        <w:outlineLvl w:val="1"/>
        <w:rPr>
          <w:rFonts w:hint="eastAsia" w:hAnsi="宋体" w:cs="宋体"/>
          <w:b/>
          <w:bCs/>
          <w:color w:val="auto"/>
          <w:sz w:val="24"/>
          <w:highlight w:val="none"/>
        </w:rPr>
      </w:pPr>
      <w:bookmarkStart w:id="645" w:name="_Toc26378"/>
      <w:bookmarkStart w:id="646" w:name="_Toc3441"/>
      <w:bookmarkStart w:id="647" w:name="_Toc10223"/>
      <w:bookmarkStart w:id="648" w:name="_Toc30168"/>
      <w:bookmarkStart w:id="649" w:name="_Toc27298"/>
      <w:bookmarkStart w:id="650" w:name="_Toc2421"/>
      <w:bookmarkStart w:id="651" w:name="_Toc25049"/>
      <w:bookmarkStart w:id="652" w:name="_Toc14516"/>
      <w:bookmarkStart w:id="653" w:name="_Toc25501"/>
      <w:bookmarkStart w:id="654" w:name="_Toc18056"/>
      <w:r>
        <w:rPr>
          <w:rFonts w:hint="eastAsia" w:hAnsi="宋体" w:cs="宋体"/>
          <w:b/>
          <w:bCs/>
          <w:color w:val="auto"/>
          <w:sz w:val="24"/>
          <w:highlight w:val="none"/>
        </w:rPr>
        <w:t>2.磋商程序</w:t>
      </w:r>
      <w:bookmarkEnd w:id="645"/>
      <w:bookmarkEnd w:id="646"/>
      <w:bookmarkEnd w:id="647"/>
      <w:bookmarkEnd w:id="648"/>
      <w:bookmarkEnd w:id="649"/>
      <w:bookmarkEnd w:id="650"/>
      <w:bookmarkEnd w:id="651"/>
      <w:bookmarkEnd w:id="652"/>
      <w:bookmarkEnd w:id="653"/>
      <w:bookmarkEnd w:id="654"/>
    </w:p>
    <w:p w14:paraId="2B788FCC">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2.1磋商小组正式评审前，应当对磋商文件进行熟悉和理解，内容主要包括磋商文件中供应商资格条件要求、采购项目技术、服务和商务要求、磋商办法和标准、采购政策要求以及采购合同主要条款等。</w:t>
      </w:r>
    </w:p>
    <w:p w14:paraId="3920905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2.2资格性审查。</w:t>
      </w:r>
    </w:p>
    <w:p w14:paraId="0BF3134F">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2.2.1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14:paraId="10AFB825">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2.2.2资格性审查结束后，磋商小组应当出具资格性审查报告，没有通过资格审查的供应商，磋商小组应当在资格审查报告中说明原因。</w:t>
      </w:r>
    </w:p>
    <w:p w14:paraId="261BDBE3">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2.2.3磋商小组应依据磋商文件规定的实质性要求，对符合资格的响应文件进行有效性、完整性和响应程度审查，以确定参加磋商的供应商名单。</w:t>
      </w:r>
    </w:p>
    <w:p w14:paraId="60879FE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2.2.4采购人或者采购代理机构宣布未通过资格性审查的供应商名单时，应当告知供应商未通过审查的原因。</w:t>
      </w:r>
    </w:p>
    <w:p w14:paraId="3954ADE1">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2.3 通过资格性审查的供应商不足三家的，终止本次采购活动，并发布终止采购活动公告。</w:t>
      </w:r>
    </w:p>
    <w:p w14:paraId="1665E66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2.4磋商。</w:t>
      </w:r>
    </w:p>
    <w:p w14:paraId="4721576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550D608D">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2.4.2每轮磋商开始前，磋商小组应根据磋商文件的规定，并结合各供应商的响应文件拟定磋商内容。</w:t>
      </w:r>
    </w:p>
    <w:p w14:paraId="76C7EF1E">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44B4DFA7">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2.4.4对磋商文件作出的实质性变动是磋商文件的有效组成部分，磋商小组应当及时以书面形式同时通知所有参加磋商的供应商。</w:t>
      </w:r>
    </w:p>
    <w:p w14:paraId="4EFC7900">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633B136A">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2.4.6磋商过程中，磋商的任何一方不得透露与磋商有关的其他供应商的技术资料、价格和其他信息。</w:t>
      </w:r>
    </w:p>
    <w:p w14:paraId="33CB6510">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2.4.7磋商过程中，磋商小组发现或者知晓供应商存在违法、违纪行为的，磋商小组应当将该供应商响应文件作无效处理，不允许其提交最后报价。</w:t>
      </w:r>
    </w:p>
    <w:p w14:paraId="19EE2CDB">
      <w:pPr>
        <w:shd w:val="clear" w:color="auto" w:fill="auto"/>
        <w:spacing w:line="400" w:lineRule="exact"/>
        <w:ind w:firstLine="470" w:firstLineChars="196"/>
        <w:rPr>
          <w:rFonts w:hint="eastAsia" w:hAnsi="宋体" w:cs="宋体"/>
          <w:color w:val="auto"/>
          <w:sz w:val="24"/>
          <w:highlight w:val="none"/>
        </w:rPr>
      </w:pPr>
      <w:r>
        <w:rPr>
          <w:rFonts w:hint="eastAsia" w:hAnsi="宋体" w:cs="宋体"/>
          <w:color w:val="auto"/>
          <w:sz w:val="24"/>
          <w:highlight w:val="none"/>
        </w:rPr>
        <w:t xml:space="preserve">2.4.8磋商完成后，磋商小组应出具磋商情况记录表，磋商情况记录表需包含磋商内容、磋商意见、实质性变动内容等。   </w:t>
      </w:r>
    </w:p>
    <w:p w14:paraId="2566047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2.5最后报价。</w:t>
      </w:r>
    </w:p>
    <w:p w14:paraId="3610FA3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2.5.1磋商文件能够详细列明服务要求的，磋商结束后，磋商小组应当要求所有实质性响应的供应商在规定时间内提交最后报价，提交最后报价的供应商不得少于三家。</w:t>
      </w:r>
    </w:p>
    <w:p w14:paraId="4CA6C12C">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2.5.2磋商结束后，磋商小组应当要求所有实质性响应的供应商在规定时间内提交最后报价。</w:t>
      </w:r>
    </w:p>
    <w:p w14:paraId="3952F44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2.5.3供应商最后报价应当由法定代表人/主要负责人/本人或其授权代表签字确认或加盖公章。最后报价是供应商响应文件的有效组成部分。</w:t>
      </w:r>
    </w:p>
    <w:p w14:paraId="22821AB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F30A33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2.6比较与评价。由磋商小组采用综合评分法对提交最后报价的供应商的响应文件和最后报价进行综合评分，具体要求详见本章综合评分部分。</w:t>
      </w:r>
    </w:p>
    <w:p w14:paraId="59D2574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2.7推荐成交候选供应商。磋商小组应当根据综合评分情况，按照评审得分由高到低顺序推荐三家以上成交候选供应商，并编写磋商报告。评审得分相同的，按照最后报价由低到高的顺序推荐。评审得分且最后报价相同的，由供应商现场抽签决定排名顺序。</w:t>
      </w:r>
    </w:p>
    <w:p w14:paraId="653B0F3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2.8磋商小组复核。磋商小组评分汇总结束后，磋商小组应当进行评审复核，对拟推荐为成交候选供应商的、报价最低的、供应商资格审查未通过的、供应商响应文件作无效处理的重点复核。</w:t>
      </w:r>
    </w:p>
    <w:p w14:paraId="1A0884C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2.9采购组织单位现场复核评审结果。</w:t>
      </w:r>
    </w:p>
    <w:p w14:paraId="255BA71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75B6EA9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（1）资格性审查认定错误的；</w:t>
      </w:r>
    </w:p>
    <w:p w14:paraId="4041248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（2）分值汇总计算错误的；</w:t>
      </w:r>
    </w:p>
    <w:p w14:paraId="1973B05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（3）分项评分超出评分标准范围的；</w:t>
      </w:r>
    </w:p>
    <w:p w14:paraId="388144FF">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（4）客观评分不一致的。</w:t>
      </w:r>
    </w:p>
    <w:p w14:paraId="7A8CBFAA">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采购代理机构复核过程中，磋商小组成员不得离开评审现场。</w:t>
      </w:r>
    </w:p>
    <w:p w14:paraId="016A465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2.9.2有下列情形之一的，不得现场修改评审结果：</w:t>
      </w:r>
    </w:p>
    <w:p w14:paraId="3AFD9F7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（1）磋商小组已经出具磋商报告并且离开评审现场的；</w:t>
      </w:r>
    </w:p>
    <w:p w14:paraId="13C34110">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（2）采购代理机构现场复核时，复核工作人员数量不足的；</w:t>
      </w:r>
    </w:p>
    <w:p w14:paraId="132F854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（3）采购代理机构现场复核时，没有采购监督人员现场监督的；</w:t>
      </w:r>
    </w:p>
    <w:p w14:paraId="742F657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（4）采购代理机构现场复核内容超出规定范围的；</w:t>
      </w:r>
    </w:p>
    <w:p w14:paraId="682310B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2.10编写磋商报告。磋商小组推荐成交候选供应商后，应向采购代理机构出具磋商报告。磋商报告应当包括以下主要内容：</w:t>
      </w:r>
    </w:p>
    <w:p w14:paraId="23111EDE">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（1）邀请供应商参加采购活动的具体方式和相关情况；</w:t>
      </w:r>
    </w:p>
    <w:p w14:paraId="418DB36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（2）响应文件开启日期和地点；</w:t>
      </w:r>
    </w:p>
    <w:p w14:paraId="59F6DCA4">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（3）获取磋商文件的供应商名单和磋商小组成员名单；</w:t>
      </w:r>
    </w:p>
    <w:p w14:paraId="30C736B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（4）评审情况记录和说明，包括对供应商的资格审查情况、供应商响应文件审查情况、磋商情况、报价情况等；</w:t>
      </w:r>
    </w:p>
    <w:p w14:paraId="4392677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（5）提出的成交候选供应商的排序名单及理由。</w:t>
      </w:r>
    </w:p>
    <w:p w14:paraId="0386BFE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5707730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2.11供应商澄清、说明</w:t>
      </w:r>
    </w:p>
    <w:p w14:paraId="41F1A38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F28789">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2.11.2磋商小组要求供应商澄清、说明或者更正响应文件应当以书面形式作出。供应商的澄清、说明或者更正应当由法定代表人/主要负责人/本人或其授权代表签字或者加盖公章。</w:t>
      </w:r>
    </w:p>
    <w:p w14:paraId="31EBD5F7">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2.12终止磋商采购活动。</w:t>
      </w:r>
    </w:p>
    <w:p w14:paraId="503EEAE5">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出现下列情形之一的，采购人或者采购代理机构应当终止竞争性磋商采购活动，发布项目终止公告并说明原因，重新开展采购活动：</w:t>
      </w:r>
    </w:p>
    <w:p w14:paraId="78D92418">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（1）因情况变化，不再符合规定的竞争性磋商采购方式适用情形的；</w:t>
      </w:r>
    </w:p>
    <w:p w14:paraId="649E5A91">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（2）出现影响采购公正的违法、违规行为的；</w:t>
      </w:r>
    </w:p>
    <w:p w14:paraId="6116EAE5">
      <w:pPr>
        <w:shd w:val="clear" w:color="auto" w:fill="auto"/>
        <w:spacing w:line="400" w:lineRule="exact"/>
        <w:ind w:firstLine="482" w:firstLineChars="200"/>
        <w:outlineLvl w:val="1"/>
        <w:rPr>
          <w:rFonts w:hint="eastAsia" w:hAnsi="宋体" w:cs="宋体"/>
          <w:b/>
          <w:bCs/>
          <w:color w:val="auto"/>
          <w:sz w:val="24"/>
          <w:highlight w:val="none"/>
        </w:rPr>
      </w:pPr>
      <w:bookmarkStart w:id="655" w:name="_Toc13842"/>
      <w:bookmarkStart w:id="656" w:name="_Toc11823"/>
      <w:bookmarkStart w:id="657" w:name="_Toc10261"/>
      <w:bookmarkStart w:id="658" w:name="_Toc3782"/>
      <w:bookmarkStart w:id="659" w:name="_Toc22980"/>
      <w:bookmarkStart w:id="660" w:name="_Toc20220"/>
      <w:bookmarkStart w:id="661" w:name="_Toc14122"/>
      <w:bookmarkStart w:id="662" w:name="_Toc22552"/>
      <w:bookmarkStart w:id="663" w:name="_Toc10548"/>
      <w:bookmarkStart w:id="664" w:name="_Toc17891"/>
      <w:r>
        <w:rPr>
          <w:rFonts w:hint="eastAsia" w:hAnsi="宋体" w:cs="宋体"/>
          <w:b/>
          <w:bCs/>
          <w:color w:val="auto"/>
          <w:sz w:val="24"/>
          <w:highlight w:val="none"/>
        </w:rPr>
        <w:t>3.综合评分</w:t>
      </w:r>
      <w:bookmarkEnd w:id="655"/>
      <w:bookmarkEnd w:id="656"/>
      <w:bookmarkEnd w:id="657"/>
      <w:bookmarkEnd w:id="658"/>
      <w:bookmarkEnd w:id="659"/>
      <w:bookmarkEnd w:id="660"/>
      <w:bookmarkEnd w:id="661"/>
      <w:bookmarkEnd w:id="662"/>
      <w:bookmarkEnd w:id="663"/>
      <w:bookmarkEnd w:id="664"/>
    </w:p>
    <w:p w14:paraId="73CEC49E">
      <w:pPr>
        <w:shd w:val="clear" w:color="auto" w:fill="auto"/>
        <w:ind w:left="720" w:hanging="720" w:hangingChars="300"/>
        <w:jc w:val="left"/>
        <w:rPr>
          <w:rFonts w:hint="eastAsia" w:hAnsi="宋体" w:cs="宋体"/>
          <w:color w:val="auto"/>
          <w:sz w:val="24"/>
          <w:highlight w:val="none"/>
        </w:rPr>
      </w:pPr>
      <w:r>
        <w:rPr>
          <w:rFonts w:hint="eastAsia" w:hAnsi="宋体" w:cs="宋体"/>
          <w:color w:val="auto"/>
          <w:sz w:val="24"/>
          <w:highlight w:val="none"/>
        </w:rPr>
        <w:t xml:space="preserve">   3.1本次综合评分的因素是：详见综合评分明细表。</w:t>
      </w:r>
    </w:p>
    <w:p w14:paraId="71A13BF8">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3.2综合评分明细表</w:t>
      </w:r>
    </w:p>
    <w:tbl>
      <w:tblPr>
        <w:tblStyle w:val="28"/>
        <w:tblpPr w:leftFromText="180" w:rightFromText="180" w:vertAnchor="text" w:horzAnchor="page" w:tblpX="981" w:tblpY="512"/>
        <w:tblOverlap w:val="never"/>
        <w:tblW w:w="10120" w:type="dxa"/>
        <w:tblInd w:w="0" w:type="dxa"/>
        <w:tblLayout w:type="fixed"/>
        <w:tblCellMar>
          <w:top w:w="0" w:type="dxa"/>
          <w:left w:w="108" w:type="dxa"/>
          <w:bottom w:w="0" w:type="dxa"/>
          <w:right w:w="108" w:type="dxa"/>
        </w:tblCellMar>
      </w:tblPr>
      <w:tblGrid>
        <w:gridCol w:w="652"/>
        <w:gridCol w:w="1091"/>
        <w:gridCol w:w="510"/>
        <w:gridCol w:w="5790"/>
        <w:gridCol w:w="2077"/>
      </w:tblGrid>
      <w:tr w14:paraId="267F658D">
        <w:tblPrEx>
          <w:tblCellMar>
            <w:top w:w="0" w:type="dxa"/>
            <w:left w:w="108" w:type="dxa"/>
            <w:bottom w:w="0" w:type="dxa"/>
            <w:right w:w="108" w:type="dxa"/>
          </w:tblCellMar>
        </w:tblPrEx>
        <w:trPr>
          <w:trHeight w:val="23"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215FF000">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bookmarkStart w:id="665" w:name="_Toc26996"/>
            <w:bookmarkStart w:id="666" w:name="_Toc15169"/>
            <w:bookmarkStart w:id="667" w:name="_Toc28715"/>
            <w:bookmarkStart w:id="668" w:name="_Toc25037"/>
            <w:bookmarkStart w:id="669" w:name="_Toc32220"/>
            <w:bookmarkStart w:id="670" w:name="_Toc8202"/>
            <w:bookmarkStart w:id="671" w:name="_Toc10587"/>
            <w:bookmarkStart w:id="672" w:name="_Toc430773924"/>
            <w:r>
              <w:rPr>
                <w:rFonts w:hint="eastAsia" w:hAnsi="宋体" w:cs="宋体"/>
                <w:color w:val="auto"/>
                <w:kern w:val="2"/>
                <w:sz w:val="24"/>
                <w:szCs w:val="24"/>
                <w:highlight w:val="none"/>
              </w:rPr>
              <w:t>序号</w:t>
            </w:r>
          </w:p>
        </w:tc>
        <w:tc>
          <w:tcPr>
            <w:tcW w:w="1091" w:type="dxa"/>
            <w:tcBorders>
              <w:top w:val="single" w:color="auto" w:sz="4" w:space="0"/>
              <w:left w:val="nil"/>
              <w:bottom w:val="single" w:color="auto" w:sz="4" w:space="0"/>
              <w:right w:val="single" w:color="auto" w:sz="4" w:space="0"/>
            </w:tcBorders>
            <w:noWrap w:val="0"/>
            <w:vAlign w:val="center"/>
          </w:tcPr>
          <w:p w14:paraId="35E22451">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评分因素</w:t>
            </w:r>
          </w:p>
          <w:p w14:paraId="626BCEF5">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及权重</w:t>
            </w:r>
          </w:p>
        </w:tc>
        <w:tc>
          <w:tcPr>
            <w:tcW w:w="510" w:type="dxa"/>
            <w:tcBorders>
              <w:top w:val="single" w:color="auto" w:sz="4" w:space="0"/>
              <w:left w:val="nil"/>
              <w:bottom w:val="single" w:color="auto" w:sz="4" w:space="0"/>
              <w:right w:val="single" w:color="auto" w:sz="4" w:space="0"/>
            </w:tcBorders>
            <w:noWrap w:val="0"/>
            <w:vAlign w:val="center"/>
          </w:tcPr>
          <w:p w14:paraId="7C975A6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分值</w:t>
            </w:r>
          </w:p>
        </w:tc>
        <w:tc>
          <w:tcPr>
            <w:tcW w:w="5790" w:type="dxa"/>
            <w:tcBorders>
              <w:top w:val="single" w:color="auto" w:sz="4" w:space="0"/>
              <w:left w:val="nil"/>
              <w:bottom w:val="single" w:color="auto" w:sz="4" w:space="0"/>
              <w:right w:val="single" w:color="auto" w:sz="4" w:space="0"/>
            </w:tcBorders>
            <w:noWrap w:val="0"/>
            <w:vAlign w:val="center"/>
          </w:tcPr>
          <w:p w14:paraId="308195BA">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评分标准</w:t>
            </w:r>
          </w:p>
        </w:tc>
        <w:tc>
          <w:tcPr>
            <w:tcW w:w="2077" w:type="dxa"/>
            <w:tcBorders>
              <w:top w:val="single" w:color="auto" w:sz="4" w:space="0"/>
              <w:left w:val="nil"/>
              <w:bottom w:val="single" w:color="auto" w:sz="4" w:space="0"/>
              <w:right w:val="single" w:color="auto" w:sz="4" w:space="0"/>
            </w:tcBorders>
            <w:noWrap w:val="0"/>
            <w:vAlign w:val="center"/>
          </w:tcPr>
          <w:p w14:paraId="01E1CADF">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备注</w:t>
            </w:r>
          </w:p>
        </w:tc>
      </w:tr>
      <w:tr w14:paraId="0D83ECF4">
        <w:tblPrEx>
          <w:tblCellMar>
            <w:top w:w="0" w:type="dxa"/>
            <w:left w:w="108" w:type="dxa"/>
            <w:bottom w:w="0" w:type="dxa"/>
            <w:right w:w="108" w:type="dxa"/>
          </w:tblCellMar>
        </w:tblPrEx>
        <w:trPr>
          <w:trHeight w:val="1708"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7862A71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1</w:t>
            </w:r>
          </w:p>
        </w:tc>
        <w:tc>
          <w:tcPr>
            <w:tcW w:w="1091" w:type="dxa"/>
            <w:tcBorders>
              <w:top w:val="single" w:color="auto" w:sz="4" w:space="0"/>
              <w:left w:val="nil"/>
              <w:bottom w:val="single" w:color="auto" w:sz="4" w:space="0"/>
              <w:right w:val="single" w:color="auto" w:sz="4" w:space="0"/>
            </w:tcBorders>
            <w:noWrap w:val="0"/>
            <w:vAlign w:val="center"/>
          </w:tcPr>
          <w:p w14:paraId="7A10ADFB">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报价</w:t>
            </w:r>
            <w:r>
              <w:rPr>
                <w:rFonts w:hint="eastAsia" w:hAnsi="宋体" w:cs="宋体"/>
                <w:color w:val="auto"/>
                <w:kern w:val="2"/>
                <w:sz w:val="24"/>
                <w:szCs w:val="24"/>
                <w:highlight w:val="none"/>
                <w:lang w:val="en-US" w:eastAsia="zh-CN"/>
              </w:rPr>
              <w:t>20</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7FA55090">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20</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086391D4">
            <w:pPr>
              <w:keepNext w:val="0"/>
              <w:keepLines w:val="0"/>
              <w:widowControl/>
              <w:numPr>
                <w:ilvl w:val="0"/>
                <w:numId w:val="0"/>
              </w:numPr>
              <w:suppressLineNumbers w:val="0"/>
              <w:shd w:val="clear" w:color="auto" w:fill="auto"/>
              <w:spacing w:before="0" w:beforeAutospacing="0" w:after="0" w:afterAutospacing="0"/>
              <w:ind w:left="0" w:right="0" w:firstLine="0"/>
              <w:jc w:val="left"/>
              <w:rPr>
                <w:rFonts w:hint="eastAsia" w:hAnsi="宋体" w:cs="宋体"/>
                <w:color w:val="auto"/>
                <w:kern w:val="2"/>
                <w:sz w:val="24"/>
                <w:szCs w:val="24"/>
                <w:highlight w:val="none"/>
              </w:rPr>
            </w:pPr>
            <w:r>
              <w:rPr>
                <w:rFonts w:hint="eastAsia" w:hAnsi="宋体" w:cs="宋体"/>
                <w:color w:val="auto"/>
                <w:kern w:val="2"/>
                <w:sz w:val="24"/>
                <w:szCs w:val="24"/>
                <w:highlight w:val="none"/>
              </w:rPr>
              <w:t>满足磋商文件要求且最后报价最低的供应商报价其价格分为满分，作为基准价。其他供应商的价格分统一按照下列公式计算：</w:t>
            </w:r>
          </w:p>
          <w:p w14:paraId="3AC048EA">
            <w:pPr>
              <w:keepNext w:val="0"/>
              <w:keepLines w:val="0"/>
              <w:widowControl/>
              <w:numPr>
                <w:ilvl w:val="0"/>
                <w:numId w:val="0"/>
              </w:numPr>
              <w:suppressLineNumbers w:val="0"/>
              <w:shd w:val="clear" w:color="auto" w:fill="auto"/>
              <w:spacing w:before="0" w:beforeAutospacing="0" w:after="0" w:afterAutospacing="0"/>
              <w:ind w:left="0" w:right="0" w:firstLine="0"/>
              <w:jc w:val="left"/>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磋商报价得分=（磋商基准价／最后磋商报价）×</w:t>
            </w:r>
            <w:r>
              <w:rPr>
                <w:rFonts w:hint="eastAsia" w:hAnsi="宋体" w:cs="宋体"/>
                <w:color w:val="auto"/>
                <w:kern w:val="2"/>
                <w:sz w:val="24"/>
                <w:szCs w:val="24"/>
                <w:highlight w:val="none"/>
                <w:lang w:val="en-US" w:eastAsia="zh-CN"/>
              </w:rPr>
              <w:t>20</w:t>
            </w:r>
            <w:r>
              <w:rPr>
                <w:rFonts w:hint="eastAsia" w:hAnsi="宋体" w:cs="宋体"/>
                <w:color w:val="auto"/>
                <w:kern w:val="2"/>
                <w:sz w:val="24"/>
                <w:szCs w:val="24"/>
                <w:highlight w:val="none"/>
              </w:rPr>
              <w:t>×100%</w:t>
            </w:r>
            <w:r>
              <w:rPr>
                <w:rFonts w:hint="eastAsia" w:hAnsi="宋体" w:cs="宋体"/>
                <w:color w:val="auto"/>
                <w:kern w:val="2"/>
                <w:sz w:val="24"/>
                <w:szCs w:val="24"/>
                <w:highlight w:val="none"/>
                <w:lang w:eastAsia="zh-CN"/>
              </w:rPr>
              <w:t>。</w:t>
            </w:r>
            <w:r>
              <w:rPr>
                <w:rFonts w:hint="eastAsia" w:hAnsi="宋体" w:cs="宋体"/>
                <w:color w:val="auto"/>
                <w:kern w:val="2"/>
                <w:sz w:val="24"/>
                <w:szCs w:val="24"/>
                <w:highlight w:val="none"/>
                <w:lang w:val="en-US" w:eastAsia="zh-CN"/>
              </w:rPr>
              <w:t>(结果按四舍五入，保留2位小数)</w:t>
            </w:r>
          </w:p>
          <w:p w14:paraId="734D5EF9">
            <w:pPr>
              <w:keepNext w:val="0"/>
              <w:keepLines w:val="0"/>
              <w:widowControl/>
              <w:suppressLineNumbers w:val="0"/>
              <w:shd w:val="clear" w:color="auto" w:fill="auto"/>
              <w:spacing w:before="0" w:beforeAutospacing="0" w:after="50" w:afterAutospacing="0"/>
              <w:ind w:left="0" w:right="0"/>
              <w:rPr>
                <w:rFonts w:hint="eastAsia" w:hAnsi="宋体" w:cs="宋体"/>
                <w:color w:val="auto"/>
                <w:kern w:val="2"/>
                <w:sz w:val="24"/>
                <w:szCs w:val="24"/>
                <w:highlight w:val="none"/>
              </w:rPr>
            </w:pPr>
            <w:r>
              <w:rPr>
                <w:rFonts w:hint="eastAsia" w:hAnsi="宋体" w:cs="宋体"/>
                <w:b/>
                <w:bCs/>
                <w:color w:val="auto"/>
                <w:kern w:val="2"/>
                <w:sz w:val="24"/>
                <w:szCs w:val="24"/>
                <w:highlight w:val="none"/>
              </w:rPr>
              <w:t>注：</w:t>
            </w:r>
            <w:r>
              <w:rPr>
                <w:rFonts w:hint="eastAsia" w:hAnsi="宋体" w:cs="宋体"/>
                <w:color w:val="auto"/>
                <w:kern w:val="2"/>
                <w:sz w:val="24"/>
                <w:szCs w:val="24"/>
                <w:highlight w:val="none"/>
              </w:rPr>
              <w:t>产品单项报价不能高于该投标产品在“药品和医用耗材招采管理系统”的挂网最低价格和本招标文件的最高单价限价，超过视为报价无效。（本项目报价得分按所有产品单价合计金额进行计算）</w:t>
            </w:r>
          </w:p>
        </w:tc>
        <w:tc>
          <w:tcPr>
            <w:tcW w:w="2077" w:type="dxa"/>
            <w:tcBorders>
              <w:top w:val="single" w:color="auto" w:sz="4" w:space="0"/>
              <w:left w:val="nil"/>
              <w:bottom w:val="single" w:color="auto" w:sz="4" w:space="0"/>
              <w:right w:val="single" w:color="auto" w:sz="4" w:space="0"/>
            </w:tcBorders>
            <w:noWrap w:val="0"/>
            <w:vAlign w:val="center"/>
          </w:tcPr>
          <w:p w14:paraId="4D572CED">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p>
        </w:tc>
      </w:tr>
      <w:tr w14:paraId="7F56C6BC">
        <w:tblPrEx>
          <w:tblCellMar>
            <w:top w:w="0" w:type="dxa"/>
            <w:left w:w="108" w:type="dxa"/>
            <w:bottom w:w="0" w:type="dxa"/>
            <w:right w:w="108" w:type="dxa"/>
          </w:tblCellMar>
        </w:tblPrEx>
        <w:trPr>
          <w:trHeight w:val="394"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20173528">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2</w:t>
            </w:r>
          </w:p>
        </w:tc>
        <w:tc>
          <w:tcPr>
            <w:tcW w:w="1091" w:type="dxa"/>
            <w:tcBorders>
              <w:top w:val="single" w:color="auto" w:sz="4" w:space="0"/>
              <w:left w:val="nil"/>
              <w:bottom w:val="single" w:color="auto" w:sz="4" w:space="0"/>
              <w:right w:val="single" w:color="auto" w:sz="4" w:space="0"/>
            </w:tcBorders>
            <w:noWrap w:val="0"/>
            <w:vAlign w:val="center"/>
          </w:tcPr>
          <w:p w14:paraId="152FBFAC">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服务方案</w:t>
            </w:r>
            <w:r>
              <w:rPr>
                <w:rFonts w:hint="eastAsia" w:hAnsi="宋体" w:cs="宋体"/>
                <w:color w:val="auto"/>
                <w:kern w:val="2"/>
                <w:sz w:val="24"/>
                <w:szCs w:val="24"/>
                <w:highlight w:val="none"/>
                <w:lang w:val="en-US" w:eastAsia="zh-CN"/>
              </w:rPr>
              <w:t>36</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017C9D16">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36</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6F6FB1B4">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根据供应商提供的服务方案，内容应至少包含：</w:t>
            </w:r>
          </w:p>
          <w:p w14:paraId="107EAD2D">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（1）配送方案</w:t>
            </w:r>
          </w:p>
          <w:p w14:paraId="028810C6">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①完善的出入库管理制度；</w:t>
            </w:r>
          </w:p>
          <w:p w14:paraId="357D73FB">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②完整的配送流程（运输及验收流程）；</w:t>
            </w:r>
          </w:p>
          <w:p w14:paraId="2B052233">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③配送人员和车辆的配置计划。</w:t>
            </w:r>
          </w:p>
          <w:p w14:paraId="7748B08D">
            <w:pPr>
              <w:keepNext w:val="0"/>
              <w:keepLines w:val="0"/>
              <w:suppressLineNumbers w:val="0"/>
              <w:shd w:val="clear" w:color="auto" w:fill="auto"/>
              <w:spacing w:before="0" w:beforeAutospacing="0" w:after="0" w:afterAutospacing="0"/>
              <w:ind w:left="0" w:right="0"/>
              <w:rPr>
                <w:rFonts w:hint="default" w:hAnsi="Times New Roman" w:cs="Times New Roman"/>
                <w:color w:val="auto"/>
                <w:szCs w:val="20"/>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w:t>
            </w:r>
            <w:r>
              <w:rPr>
                <w:rFonts w:hint="eastAsia"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分</w:t>
            </w:r>
            <w:r>
              <w:rPr>
                <w:rFonts w:hint="default" w:ascii="宋体" w:hAnsi="宋体" w:eastAsia="宋体" w:cs="宋体"/>
                <w:color w:val="auto"/>
                <w:kern w:val="0"/>
                <w:sz w:val="24"/>
                <w:szCs w:val="24"/>
                <w:highlight w:val="none"/>
                <w:lang w:val="en-US" w:eastAsia="zh-CN" w:bidi="ar"/>
              </w:rPr>
              <w:t>，每缺少一项内容扣</w:t>
            </w:r>
            <w:r>
              <w:rPr>
                <w:rFonts w:hint="eastAsia" w:hAnsi="宋体" w:cs="宋体"/>
                <w:color w:val="auto"/>
                <w:kern w:val="0"/>
                <w:sz w:val="24"/>
                <w:szCs w:val="24"/>
                <w:highlight w:val="none"/>
                <w:lang w:val="en-US" w:eastAsia="zh-CN" w:bidi="ar"/>
              </w:rPr>
              <w:t>4</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hAnsi="宋体" w:cs="宋体"/>
                <w:color w:val="auto"/>
                <w:kern w:val="0"/>
                <w:sz w:val="24"/>
                <w:szCs w:val="24"/>
                <w:highlight w:val="none"/>
                <w:lang w:val="en-US" w:eastAsia="zh-CN" w:bidi="ar"/>
              </w:rPr>
              <w:t>2</w:t>
            </w:r>
            <w:r>
              <w:rPr>
                <w:rFonts w:hint="default" w:ascii="宋体" w:hAnsi="宋体" w:eastAsia="宋体" w:cs="宋体"/>
                <w:color w:val="auto"/>
                <w:kern w:val="0"/>
                <w:sz w:val="24"/>
                <w:szCs w:val="24"/>
                <w:highlight w:val="none"/>
                <w:lang w:val="en-US" w:eastAsia="zh-CN" w:bidi="ar"/>
              </w:rPr>
              <w:t>分。本项最多得</w:t>
            </w:r>
            <w:r>
              <w:rPr>
                <w:rFonts w:hint="eastAsia" w:hAnsi="宋体" w:cs="宋体"/>
                <w:color w:val="auto"/>
                <w:kern w:val="0"/>
                <w:sz w:val="24"/>
                <w:szCs w:val="24"/>
                <w:highlight w:val="none"/>
                <w:lang w:val="en-US" w:eastAsia="zh-CN" w:bidi="ar"/>
              </w:rPr>
              <w:t>12</w:t>
            </w:r>
            <w:r>
              <w:rPr>
                <w:rFonts w:hint="default" w:ascii="宋体" w:hAnsi="宋体" w:eastAsia="宋体" w:cs="宋体"/>
                <w:color w:val="auto"/>
                <w:kern w:val="0"/>
                <w:sz w:val="24"/>
                <w:szCs w:val="24"/>
                <w:highlight w:val="none"/>
                <w:lang w:val="en-US" w:eastAsia="zh-CN" w:bidi="ar"/>
              </w:rPr>
              <w:t>分。</w:t>
            </w:r>
          </w:p>
          <w:p w14:paraId="58A099A0">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（2）质量保障方案</w:t>
            </w:r>
          </w:p>
          <w:p w14:paraId="67FA3278">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①质量管理岗位设置；</w:t>
            </w:r>
          </w:p>
          <w:p w14:paraId="51C7898B">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②质量管理岗位职责；</w:t>
            </w:r>
          </w:p>
          <w:p w14:paraId="6D81E9DE">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③质量过程管理制度；</w:t>
            </w:r>
          </w:p>
          <w:p w14:paraId="142A40DE">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④质量资料建档制度。</w:t>
            </w:r>
          </w:p>
          <w:p w14:paraId="14854BF1">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w:t>
            </w:r>
            <w:r>
              <w:rPr>
                <w:rFonts w:hint="eastAsia"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分</w:t>
            </w:r>
            <w:r>
              <w:rPr>
                <w:rFonts w:hint="default" w:ascii="宋体" w:hAnsi="宋体" w:eastAsia="宋体" w:cs="宋体"/>
                <w:color w:val="auto"/>
                <w:kern w:val="0"/>
                <w:sz w:val="24"/>
                <w:szCs w:val="24"/>
                <w:highlight w:val="none"/>
                <w:lang w:val="en-US" w:eastAsia="zh-CN" w:bidi="ar"/>
              </w:rPr>
              <w:t>，每缺少一项内容扣</w:t>
            </w:r>
            <w:r>
              <w:rPr>
                <w:rFonts w:hint="eastAsia" w:hAnsi="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hAnsi="宋体" w:cs="宋体"/>
                <w:color w:val="auto"/>
                <w:kern w:val="0"/>
                <w:sz w:val="24"/>
                <w:szCs w:val="24"/>
                <w:highlight w:val="none"/>
                <w:lang w:val="en-US" w:eastAsia="zh-CN" w:bidi="ar"/>
              </w:rPr>
              <w:t>1.5</w:t>
            </w:r>
            <w:r>
              <w:rPr>
                <w:rFonts w:hint="default" w:ascii="宋体" w:hAnsi="宋体" w:eastAsia="宋体" w:cs="宋体"/>
                <w:color w:val="auto"/>
                <w:kern w:val="0"/>
                <w:sz w:val="24"/>
                <w:szCs w:val="24"/>
                <w:highlight w:val="none"/>
                <w:lang w:val="en-US" w:eastAsia="zh-CN" w:bidi="ar"/>
              </w:rPr>
              <w:t>分。本项最多得</w:t>
            </w:r>
            <w:r>
              <w:rPr>
                <w:rFonts w:hint="eastAsia" w:hAnsi="宋体" w:cs="宋体"/>
                <w:color w:val="auto"/>
                <w:kern w:val="0"/>
                <w:sz w:val="24"/>
                <w:szCs w:val="24"/>
                <w:highlight w:val="none"/>
                <w:lang w:val="en-US" w:eastAsia="zh-CN" w:bidi="ar"/>
              </w:rPr>
              <w:t>12</w:t>
            </w:r>
            <w:r>
              <w:rPr>
                <w:rFonts w:hint="default" w:ascii="宋体" w:hAnsi="宋体" w:eastAsia="宋体" w:cs="宋体"/>
                <w:color w:val="auto"/>
                <w:kern w:val="0"/>
                <w:sz w:val="24"/>
                <w:szCs w:val="24"/>
                <w:highlight w:val="none"/>
                <w:lang w:val="en-US" w:eastAsia="zh-CN" w:bidi="ar"/>
              </w:rPr>
              <w:t>分。</w:t>
            </w:r>
          </w:p>
          <w:p w14:paraId="3886FD97">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（3）应急保障方案</w:t>
            </w:r>
          </w:p>
          <w:p w14:paraId="414CC7D4">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①过程中的突发应急措施；</w:t>
            </w:r>
          </w:p>
          <w:p w14:paraId="2D68575C">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②临时配送应急措施；</w:t>
            </w:r>
          </w:p>
          <w:p w14:paraId="790C02FF">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w:t>
            </w:r>
            <w:r>
              <w:rPr>
                <w:rFonts w:hint="eastAsia"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w:t>
            </w:r>
            <w:r>
              <w:rPr>
                <w:rFonts w:hint="default" w:ascii="宋体" w:hAnsi="宋体" w:eastAsia="宋体" w:cs="宋体"/>
                <w:color w:val="auto"/>
                <w:kern w:val="0"/>
                <w:sz w:val="24"/>
                <w:szCs w:val="24"/>
                <w:highlight w:val="none"/>
                <w:lang w:val="en-US" w:eastAsia="zh-CN" w:bidi="ar"/>
              </w:rPr>
              <w:t>，每缺少一项内容扣</w:t>
            </w:r>
            <w:r>
              <w:rPr>
                <w:rFonts w:hint="eastAsia" w:hAnsi="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hAnsi="宋体" w:cs="宋体"/>
                <w:color w:val="auto"/>
                <w:kern w:val="0"/>
                <w:sz w:val="24"/>
                <w:szCs w:val="24"/>
                <w:highlight w:val="none"/>
                <w:lang w:val="en-US" w:eastAsia="zh-CN" w:bidi="ar"/>
              </w:rPr>
              <w:t>1</w:t>
            </w:r>
            <w:r>
              <w:rPr>
                <w:rFonts w:hint="eastAsia" w:hAnsi="宋体" w:eastAsia="宋体" w:cs="宋体"/>
                <w:color w:val="auto"/>
                <w:kern w:val="0"/>
                <w:sz w:val="24"/>
                <w:szCs w:val="24"/>
                <w:highlight w:val="none"/>
                <w:lang w:val="en-US" w:eastAsia="zh-CN" w:bidi="ar"/>
              </w:rPr>
              <w:t>.5</w:t>
            </w:r>
            <w:r>
              <w:rPr>
                <w:rFonts w:hint="default" w:ascii="宋体" w:hAnsi="宋体" w:eastAsia="宋体" w:cs="宋体"/>
                <w:color w:val="auto"/>
                <w:kern w:val="0"/>
                <w:sz w:val="24"/>
                <w:szCs w:val="24"/>
                <w:highlight w:val="none"/>
                <w:lang w:val="en-US" w:eastAsia="zh-CN" w:bidi="ar"/>
              </w:rPr>
              <w:t>分。本项最多得</w:t>
            </w:r>
            <w:r>
              <w:rPr>
                <w:rFonts w:hint="eastAsia" w:hAnsi="宋体" w:cs="宋体"/>
                <w:color w:val="auto"/>
                <w:kern w:val="0"/>
                <w:sz w:val="24"/>
                <w:szCs w:val="24"/>
                <w:highlight w:val="none"/>
                <w:lang w:val="en-US" w:eastAsia="zh-CN" w:bidi="ar"/>
              </w:rPr>
              <w:t>6</w:t>
            </w:r>
            <w:r>
              <w:rPr>
                <w:rFonts w:hint="default" w:ascii="宋体" w:hAnsi="宋体" w:eastAsia="宋体" w:cs="宋体"/>
                <w:color w:val="auto"/>
                <w:kern w:val="0"/>
                <w:sz w:val="24"/>
                <w:szCs w:val="24"/>
                <w:highlight w:val="none"/>
                <w:lang w:val="en-US" w:eastAsia="zh-CN" w:bidi="ar"/>
              </w:rPr>
              <w:t>分。</w:t>
            </w:r>
          </w:p>
          <w:p w14:paraId="7636DC53">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（4）售后服务方案</w:t>
            </w:r>
          </w:p>
          <w:p w14:paraId="72E85FE5">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①售后服务内容；</w:t>
            </w:r>
          </w:p>
          <w:p w14:paraId="4DE1E888">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②售后服务响应时间；</w:t>
            </w:r>
          </w:p>
          <w:p w14:paraId="71BCE296">
            <w:pPr>
              <w:pStyle w:val="13"/>
              <w:keepNext w:val="0"/>
              <w:keepLines w:val="0"/>
              <w:numPr>
                <w:ilvl w:val="0"/>
                <w:numId w:val="0"/>
              </w:numPr>
              <w:suppressLineNumbers w:val="0"/>
              <w:shd w:val="clear" w:color="auto" w:fill="auto"/>
              <w:spacing w:before="0" w:beforeAutospacing="0" w:after="0" w:afterAutospacing="0"/>
              <w:ind w:right="0"/>
              <w:rPr>
                <w:rFonts w:hint="eastAsia" w:hAnsi="Times New Roman" w:cs="Times New Roman"/>
                <w:color w:val="auto"/>
                <w:szCs w:val="20"/>
                <w:highlight w:val="none"/>
              </w:rPr>
            </w:pPr>
            <w:r>
              <w:rPr>
                <w:rFonts w:hint="eastAsia" w:ascii="宋体" w:hAnsi="宋体" w:eastAsia="宋体" w:cs="宋体"/>
                <w:color w:val="auto"/>
                <w:kern w:val="0"/>
                <w:sz w:val="24"/>
                <w:szCs w:val="24"/>
                <w:highlight w:val="none"/>
                <w:lang w:val="en-US" w:eastAsia="zh-CN" w:bidi="ar"/>
              </w:rPr>
              <w:t>包含以上所有要素且符合项目实际需求的得6分</w:t>
            </w:r>
            <w:r>
              <w:rPr>
                <w:rFonts w:hint="default" w:ascii="宋体" w:hAnsi="宋体" w:eastAsia="宋体" w:cs="宋体"/>
                <w:color w:val="auto"/>
                <w:kern w:val="0"/>
                <w:sz w:val="24"/>
                <w:szCs w:val="24"/>
                <w:highlight w:val="none"/>
                <w:lang w:val="en-US" w:eastAsia="zh-CN" w:bidi="ar"/>
              </w:rPr>
              <w:t>，每缺少一项内容扣</w:t>
            </w:r>
            <w:r>
              <w:rPr>
                <w:rFonts w:hint="eastAsia" w:ascii="宋体" w:hAnsi="宋体" w:eastAsia="宋体" w:cs="宋体"/>
                <w:color w:val="auto"/>
                <w:kern w:val="0"/>
                <w:sz w:val="24"/>
                <w:szCs w:val="24"/>
                <w:highlight w:val="none"/>
                <w:lang w:val="en-US" w:eastAsia="zh-CN" w:bidi="ar"/>
              </w:rPr>
              <w:t>3</w:t>
            </w:r>
            <w:r>
              <w:rPr>
                <w:rFonts w:hint="default" w:ascii="宋体" w:hAnsi="宋体" w:eastAsia="宋体" w:cs="宋体"/>
                <w:color w:val="auto"/>
                <w:kern w:val="0"/>
                <w:sz w:val="24"/>
                <w:szCs w:val="24"/>
                <w:highlight w:val="none"/>
                <w:lang w:val="en-US" w:eastAsia="zh-CN" w:bidi="ar"/>
              </w:rPr>
              <w:t>分，每有一项描述不充分或有明显缺陷扣</w:t>
            </w:r>
            <w:r>
              <w:rPr>
                <w:rFonts w:hint="eastAsia" w:ascii="宋体" w:hAnsi="宋体" w:eastAsia="宋体" w:cs="宋体"/>
                <w:color w:val="auto"/>
                <w:kern w:val="0"/>
                <w:sz w:val="24"/>
                <w:szCs w:val="24"/>
                <w:highlight w:val="none"/>
                <w:lang w:val="en-US" w:eastAsia="zh-CN" w:bidi="ar"/>
              </w:rPr>
              <w:t>1.5</w:t>
            </w:r>
            <w:r>
              <w:rPr>
                <w:rFonts w:hint="default" w:ascii="宋体" w:hAnsi="宋体" w:eastAsia="宋体" w:cs="宋体"/>
                <w:color w:val="auto"/>
                <w:kern w:val="0"/>
                <w:sz w:val="24"/>
                <w:szCs w:val="24"/>
                <w:highlight w:val="none"/>
                <w:lang w:val="en-US" w:eastAsia="zh-CN" w:bidi="ar"/>
              </w:rPr>
              <w:t>分。本项最多得</w:t>
            </w:r>
            <w:r>
              <w:rPr>
                <w:rFonts w:hint="eastAsia" w:ascii="宋体" w:hAnsi="宋体" w:eastAsia="宋体" w:cs="宋体"/>
                <w:color w:val="auto"/>
                <w:kern w:val="0"/>
                <w:sz w:val="24"/>
                <w:szCs w:val="24"/>
                <w:highlight w:val="none"/>
                <w:lang w:val="en-US" w:eastAsia="zh-CN" w:bidi="ar"/>
              </w:rPr>
              <w:t>6</w:t>
            </w:r>
            <w:r>
              <w:rPr>
                <w:rFonts w:hint="default" w:ascii="宋体" w:hAnsi="宋体" w:eastAsia="宋体" w:cs="宋体"/>
                <w:color w:val="auto"/>
                <w:kern w:val="0"/>
                <w:sz w:val="24"/>
                <w:szCs w:val="24"/>
                <w:highlight w:val="none"/>
                <w:lang w:val="en-US" w:eastAsia="zh-CN" w:bidi="ar"/>
              </w:rPr>
              <w:t>分。</w:t>
            </w:r>
          </w:p>
          <w:p w14:paraId="4E1931B1">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注：</w:t>
            </w:r>
            <w:r>
              <w:rPr>
                <w:rFonts w:hint="default" w:ascii="宋体" w:hAnsi="宋体" w:eastAsia="宋体" w:cs="宋体"/>
                <w:color w:val="auto"/>
                <w:kern w:val="0"/>
                <w:sz w:val="24"/>
                <w:szCs w:val="24"/>
                <w:highlight w:val="none"/>
                <w:lang w:val="en-US" w:eastAsia="zh-CN" w:bidi="ar"/>
              </w:rPr>
              <w:t>不充分或有明显缺陷是指：内容与项目需求不符、内容表述错误、内容前后表述不一致、项目信息</w:t>
            </w:r>
            <w:r>
              <w:rPr>
                <w:rFonts w:hint="eastAsia" w:ascii="宋体" w:hAnsi="宋体" w:eastAsia="宋体" w:cs="宋体"/>
                <w:color w:val="auto"/>
                <w:kern w:val="0"/>
                <w:sz w:val="24"/>
                <w:szCs w:val="24"/>
                <w:highlight w:val="none"/>
                <w:lang w:val="en-US" w:eastAsia="zh-CN" w:bidi="ar"/>
              </w:rPr>
              <w:t>描述</w:t>
            </w:r>
            <w:r>
              <w:rPr>
                <w:rFonts w:hint="default" w:ascii="宋体" w:hAnsi="宋体" w:eastAsia="宋体" w:cs="宋体"/>
                <w:color w:val="auto"/>
                <w:kern w:val="0"/>
                <w:sz w:val="24"/>
                <w:szCs w:val="24"/>
                <w:highlight w:val="none"/>
                <w:lang w:val="en-US" w:eastAsia="zh-CN" w:bidi="ar"/>
              </w:rPr>
              <w:t>错误、不符合本项目涉及的相关规范或标准要求、内容简略、套用其他方案以及不可能实现的夸大情形、内容不完整或缺少关键节点任意一种情形。</w:t>
            </w:r>
          </w:p>
        </w:tc>
        <w:tc>
          <w:tcPr>
            <w:tcW w:w="2077" w:type="dxa"/>
            <w:tcBorders>
              <w:top w:val="single" w:color="auto" w:sz="4" w:space="0"/>
              <w:left w:val="nil"/>
              <w:bottom w:val="single" w:color="auto" w:sz="4" w:space="0"/>
              <w:right w:val="single" w:color="auto" w:sz="4" w:space="0"/>
            </w:tcBorders>
            <w:noWrap w:val="0"/>
            <w:vAlign w:val="center"/>
          </w:tcPr>
          <w:p w14:paraId="71A3C38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p>
        </w:tc>
      </w:tr>
      <w:tr w14:paraId="6FDB441E">
        <w:tblPrEx>
          <w:tblCellMar>
            <w:top w:w="0" w:type="dxa"/>
            <w:left w:w="108" w:type="dxa"/>
            <w:bottom w:w="0" w:type="dxa"/>
            <w:right w:w="108" w:type="dxa"/>
          </w:tblCellMar>
        </w:tblPrEx>
        <w:trPr>
          <w:trHeight w:val="1575"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4CCC6D7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3</w:t>
            </w:r>
          </w:p>
        </w:tc>
        <w:tc>
          <w:tcPr>
            <w:tcW w:w="1091" w:type="dxa"/>
            <w:tcBorders>
              <w:top w:val="single" w:color="auto" w:sz="4" w:space="0"/>
              <w:left w:val="nil"/>
              <w:bottom w:val="single" w:color="auto" w:sz="4" w:space="0"/>
              <w:right w:val="single" w:color="auto" w:sz="4" w:space="0"/>
            </w:tcBorders>
            <w:noWrap w:val="0"/>
            <w:vAlign w:val="center"/>
          </w:tcPr>
          <w:p w14:paraId="3865901B">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技术参数</w:t>
            </w:r>
            <w:r>
              <w:rPr>
                <w:rFonts w:hint="eastAsia" w:hAnsi="宋体" w:cs="宋体"/>
                <w:color w:val="auto"/>
                <w:kern w:val="2"/>
                <w:sz w:val="24"/>
                <w:szCs w:val="24"/>
                <w:highlight w:val="none"/>
                <w:lang w:val="en-US" w:eastAsia="zh-CN"/>
              </w:rPr>
              <w:t>40</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52F4BD49">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40</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686ED200">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供应商响应文件完全满足磋商文件</w:t>
            </w:r>
            <w:r>
              <w:rPr>
                <w:rFonts w:hint="eastAsia" w:hAnsi="宋体" w:cs="宋体"/>
                <w:color w:val="auto"/>
                <w:kern w:val="2"/>
                <w:sz w:val="24"/>
                <w:szCs w:val="24"/>
                <w:highlight w:val="none"/>
                <w:lang w:eastAsia="zh-CN"/>
              </w:rPr>
              <w:t>第五章</w:t>
            </w:r>
            <w:r>
              <w:rPr>
                <w:rFonts w:hint="eastAsia" w:hAnsi="宋体" w:cs="宋体"/>
                <w:color w:val="auto"/>
                <w:kern w:val="2"/>
                <w:sz w:val="24"/>
                <w:szCs w:val="24"/>
                <w:highlight w:val="none"/>
              </w:rPr>
              <w:t>“技术参数”得</w:t>
            </w:r>
            <w:r>
              <w:rPr>
                <w:rFonts w:hint="eastAsia" w:hAnsi="宋体" w:cs="宋体"/>
                <w:color w:val="auto"/>
                <w:kern w:val="2"/>
                <w:sz w:val="24"/>
                <w:szCs w:val="24"/>
                <w:highlight w:val="none"/>
                <w:lang w:val="en-US" w:eastAsia="zh-CN"/>
              </w:rPr>
              <w:t>40</w:t>
            </w:r>
            <w:r>
              <w:rPr>
                <w:rFonts w:hint="eastAsia" w:hAnsi="宋体" w:cs="宋体"/>
                <w:color w:val="auto"/>
                <w:kern w:val="2"/>
                <w:sz w:val="24"/>
                <w:szCs w:val="24"/>
                <w:highlight w:val="none"/>
              </w:rPr>
              <w:t>分，响应文件未完全满足的按以下方式技术：</w:t>
            </w:r>
          </w:p>
          <w:p w14:paraId="028CC842">
            <w:pPr>
              <w:keepNext w:val="0"/>
              <w:keepLines w:val="0"/>
              <w:widowControl/>
              <w:numPr>
                <w:ilvl w:val="0"/>
                <w:numId w:val="0"/>
              </w:numPr>
              <w:suppressLineNumbers w:val="0"/>
              <w:shd w:val="clear" w:color="auto" w:fill="auto"/>
              <w:wordWrap w:val="0"/>
              <w:topLinePunct/>
              <w:spacing w:before="0" w:beforeAutospacing="0" w:after="0" w:afterAutospacing="0"/>
              <w:ind w:left="0" w:right="0"/>
              <w:jc w:val="left"/>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1、条款得分=（</w:t>
            </w:r>
            <w:r>
              <w:rPr>
                <w:rFonts w:hint="eastAsia" w:hAnsi="宋体" w:eastAsia="宋体" w:cs="宋体"/>
                <w:color w:val="auto"/>
                <w:kern w:val="0"/>
                <w:sz w:val="24"/>
                <w:szCs w:val="24"/>
                <w:lang w:val="en-US" w:eastAsia="zh-CN" w:bidi="ar"/>
              </w:rPr>
              <w:t>供应商</w:t>
            </w:r>
            <w:r>
              <w:rPr>
                <w:rFonts w:hint="default" w:ascii="宋体" w:hAnsi="宋体" w:eastAsia="宋体" w:cs="宋体"/>
                <w:color w:val="auto"/>
                <w:kern w:val="0"/>
                <w:sz w:val="24"/>
                <w:szCs w:val="24"/>
                <w:lang w:val="en-US" w:eastAsia="zh-CN" w:bidi="ar"/>
              </w:rPr>
              <w:t>满足条款的数量÷条款的总数量）×</w:t>
            </w:r>
            <w:r>
              <w:rPr>
                <w:rFonts w:hint="eastAsia" w:hAnsi="宋体" w:cs="宋体"/>
                <w:color w:val="auto"/>
                <w:kern w:val="0"/>
                <w:sz w:val="24"/>
                <w:szCs w:val="24"/>
                <w:lang w:val="en-US" w:eastAsia="zh-CN" w:bidi="ar"/>
              </w:rPr>
              <w:t>4</w:t>
            </w:r>
            <w:r>
              <w:rPr>
                <w:rFonts w:hint="eastAsia" w:hAnsi="宋体" w:eastAsia="宋体" w:cs="宋体"/>
                <w:color w:val="auto"/>
                <w:kern w:val="0"/>
                <w:sz w:val="24"/>
                <w:szCs w:val="24"/>
                <w:lang w:val="en-US" w:eastAsia="zh-CN" w:bidi="ar"/>
              </w:rPr>
              <w:t>0</w:t>
            </w:r>
            <w:r>
              <w:rPr>
                <w:rFonts w:hint="default" w:ascii="宋体" w:hAnsi="宋体" w:eastAsia="宋体" w:cs="宋体"/>
                <w:color w:val="auto"/>
                <w:kern w:val="0"/>
                <w:sz w:val="24"/>
                <w:szCs w:val="24"/>
                <w:lang w:val="en-US" w:eastAsia="zh-CN" w:bidi="ar"/>
              </w:rPr>
              <w:t xml:space="preserve">分； </w:t>
            </w:r>
          </w:p>
          <w:p w14:paraId="3702F682">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cs="宋体"/>
                <w:color w:val="auto"/>
                <w:kern w:val="2"/>
                <w:sz w:val="24"/>
                <w:szCs w:val="24"/>
                <w:highlight w:val="none"/>
              </w:rPr>
            </w:pPr>
            <w:r>
              <w:rPr>
                <w:rFonts w:hint="eastAsia" w:hAnsi="宋体" w:cs="宋体"/>
                <w:b/>
                <w:bCs/>
                <w:color w:val="auto"/>
                <w:kern w:val="2"/>
                <w:sz w:val="24"/>
                <w:szCs w:val="24"/>
                <w:highlight w:val="none"/>
              </w:rPr>
              <w:t>注：</w:t>
            </w:r>
            <w:r>
              <w:rPr>
                <w:rFonts w:hint="eastAsia" w:hAnsi="宋体" w:cs="宋体"/>
                <w:color w:val="auto"/>
                <w:kern w:val="2"/>
                <w:sz w:val="24"/>
                <w:szCs w:val="24"/>
                <w:highlight w:val="none"/>
              </w:rPr>
              <w:t>本项所述的条款数量按以下原则计算：</w:t>
            </w:r>
          </w:p>
          <w:p w14:paraId="6465E6D8">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w:t>
            </w:r>
            <w:r>
              <w:rPr>
                <w:rFonts w:hint="eastAsia" w:hAnsi="宋体" w:cs="宋体"/>
                <w:color w:val="auto"/>
                <w:kern w:val="2"/>
                <w:sz w:val="24"/>
                <w:szCs w:val="24"/>
                <w:highlight w:val="none"/>
                <w:lang w:val="en-US" w:eastAsia="zh-CN"/>
              </w:rPr>
              <w:t>1</w:t>
            </w:r>
            <w:r>
              <w:rPr>
                <w:rFonts w:hint="eastAsia" w:hAnsi="宋体" w:cs="宋体"/>
                <w:color w:val="auto"/>
                <w:kern w:val="2"/>
                <w:sz w:val="24"/>
                <w:szCs w:val="24"/>
                <w:highlight w:val="none"/>
              </w:rPr>
              <w:t>）无子项的条款：以每项条款为1项进行计算；</w:t>
            </w:r>
          </w:p>
          <w:p w14:paraId="417F2920">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rPr>
              <w:t>（</w:t>
            </w:r>
            <w:r>
              <w:rPr>
                <w:rFonts w:hint="eastAsia" w:hAnsi="宋体" w:cs="宋体"/>
                <w:color w:val="auto"/>
                <w:kern w:val="2"/>
                <w:sz w:val="24"/>
                <w:szCs w:val="24"/>
                <w:highlight w:val="none"/>
                <w:lang w:val="en-US" w:eastAsia="zh-CN"/>
              </w:rPr>
              <w:t>2</w:t>
            </w:r>
            <w:r>
              <w:rPr>
                <w:rFonts w:hint="eastAsia" w:hAnsi="宋体" w:cs="宋体"/>
                <w:color w:val="auto"/>
                <w:kern w:val="2"/>
                <w:sz w:val="24"/>
                <w:szCs w:val="24"/>
                <w:highlight w:val="none"/>
              </w:rPr>
              <w:t>）有子项的条款：以最末级的子项为1项进行计算。</w:t>
            </w:r>
          </w:p>
        </w:tc>
        <w:tc>
          <w:tcPr>
            <w:tcW w:w="2077" w:type="dxa"/>
            <w:tcBorders>
              <w:top w:val="single" w:color="auto" w:sz="4" w:space="0"/>
              <w:left w:val="nil"/>
              <w:bottom w:val="single" w:color="auto" w:sz="4" w:space="0"/>
              <w:right w:val="single" w:color="auto" w:sz="4" w:space="0"/>
            </w:tcBorders>
            <w:noWrap w:val="0"/>
            <w:vAlign w:val="center"/>
          </w:tcPr>
          <w:p w14:paraId="4089DC13">
            <w:pPr>
              <w:keepNext w:val="0"/>
              <w:keepLines w:val="0"/>
              <w:widowControl/>
              <w:suppressLineNumbers w:val="0"/>
              <w:shd w:val="clear" w:color="auto" w:fill="auto"/>
              <w:wordWrap w:val="0"/>
              <w:topLinePunct/>
              <w:spacing w:before="0" w:beforeAutospacing="0" w:after="0" w:afterAutospacing="0"/>
              <w:ind w:left="0" w:right="0"/>
              <w:jc w:val="left"/>
              <w:rPr>
                <w:rFonts w:hint="eastAsia"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结果按四舍五入，保留2位小数</w:t>
            </w:r>
          </w:p>
          <w:p w14:paraId="3ADACF0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p>
        </w:tc>
      </w:tr>
      <w:tr w14:paraId="6A2C95D8">
        <w:tblPrEx>
          <w:tblCellMar>
            <w:top w:w="0" w:type="dxa"/>
            <w:left w:w="108" w:type="dxa"/>
            <w:bottom w:w="0" w:type="dxa"/>
            <w:right w:w="108" w:type="dxa"/>
          </w:tblCellMar>
        </w:tblPrEx>
        <w:trPr>
          <w:trHeight w:val="2198" w:hRule="atLeast"/>
        </w:trPr>
        <w:tc>
          <w:tcPr>
            <w:tcW w:w="652" w:type="dxa"/>
            <w:tcBorders>
              <w:top w:val="single" w:color="auto" w:sz="4" w:space="0"/>
              <w:left w:val="single" w:color="auto" w:sz="4" w:space="0"/>
              <w:bottom w:val="single" w:color="auto" w:sz="4" w:space="0"/>
              <w:right w:val="single" w:color="auto" w:sz="4" w:space="0"/>
            </w:tcBorders>
            <w:noWrap w:val="0"/>
            <w:vAlign w:val="center"/>
          </w:tcPr>
          <w:p w14:paraId="6C04BA46">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4</w:t>
            </w:r>
          </w:p>
        </w:tc>
        <w:tc>
          <w:tcPr>
            <w:tcW w:w="1091" w:type="dxa"/>
            <w:tcBorders>
              <w:top w:val="single" w:color="auto" w:sz="4" w:space="0"/>
              <w:left w:val="nil"/>
              <w:bottom w:val="single" w:color="auto" w:sz="4" w:space="0"/>
              <w:right w:val="single" w:color="auto" w:sz="4" w:space="0"/>
            </w:tcBorders>
            <w:noWrap w:val="0"/>
            <w:vAlign w:val="center"/>
          </w:tcPr>
          <w:p w14:paraId="3E900C67">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履约能力</w:t>
            </w: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w:t>
            </w:r>
          </w:p>
        </w:tc>
        <w:tc>
          <w:tcPr>
            <w:tcW w:w="510" w:type="dxa"/>
            <w:tcBorders>
              <w:top w:val="single" w:color="auto" w:sz="4" w:space="0"/>
              <w:left w:val="nil"/>
              <w:bottom w:val="single" w:color="auto" w:sz="4" w:space="0"/>
              <w:right w:val="single" w:color="auto" w:sz="4" w:space="0"/>
            </w:tcBorders>
            <w:noWrap w:val="0"/>
            <w:vAlign w:val="center"/>
          </w:tcPr>
          <w:p w14:paraId="7332AC92">
            <w:pPr>
              <w:keepNext w:val="0"/>
              <w:keepLines w:val="0"/>
              <w:widowControl/>
              <w:suppressLineNumbers w:val="0"/>
              <w:shd w:val="clear" w:color="auto" w:fill="auto"/>
              <w:spacing w:before="0" w:beforeAutospacing="0" w:after="50" w:afterAutospacing="0"/>
              <w:ind w:left="0" w:right="0"/>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分</w:t>
            </w:r>
          </w:p>
        </w:tc>
        <w:tc>
          <w:tcPr>
            <w:tcW w:w="5790" w:type="dxa"/>
            <w:tcBorders>
              <w:top w:val="single" w:color="auto" w:sz="4" w:space="0"/>
              <w:left w:val="nil"/>
              <w:bottom w:val="single" w:color="auto" w:sz="4" w:space="0"/>
              <w:right w:val="single" w:color="auto" w:sz="4" w:space="0"/>
            </w:tcBorders>
            <w:noWrap w:val="0"/>
            <w:vAlign w:val="center"/>
          </w:tcPr>
          <w:p w14:paraId="13B72E5C">
            <w:pPr>
              <w:keepNext w:val="0"/>
              <w:keepLines w:val="0"/>
              <w:widowControl/>
              <w:suppressLineNumbers w:val="0"/>
              <w:shd w:val="clear" w:color="auto" w:fill="auto"/>
              <w:spacing w:before="0" w:beforeAutospacing="0" w:after="50" w:afterAutospacing="0"/>
              <w:ind w:left="0" w:right="0"/>
              <w:rPr>
                <w:rFonts w:hint="eastAsia" w:hAnsi="宋体" w:cs="宋体"/>
                <w:color w:val="auto"/>
                <w:kern w:val="2"/>
                <w:sz w:val="24"/>
                <w:szCs w:val="24"/>
                <w:highlight w:val="none"/>
              </w:rPr>
            </w:pPr>
            <w:r>
              <w:rPr>
                <w:rFonts w:hint="eastAsia" w:hAnsi="宋体" w:cs="宋体"/>
                <w:color w:val="auto"/>
                <w:kern w:val="2"/>
                <w:sz w:val="24"/>
                <w:szCs w:val="24"/>
                <w:highlight w:val="none"/>
              </w:rPr>
              <w:t>202</w:t>
            </w:r>
            <w:r>
              <w:rPr>
                <w:rFonts w:hint="eastAsia" w:hAnsi="宋体" w:cs="宋体"/>
                <w:color w:val="auto"/>
                <w:kern w:val="2"/>
                <w:sz w:val="24"/>
                <w:szCs w:val="24"/>
                <w:highlight w:val="none"/>
                <w:lang w:val="en-US" w:eastAsia="zh-CN"/>
              </w:rPr>
              <w:t>2</w:t>
            </w:r>
            <w:r>
              <w:rPr>
                <w:rFonts w:hint="eastAsia" w:hAnsi="宋体" w:cs="宋体"/>
                <w:color w:val="auto"/>
                <w:kern w:val="2"/>
                <w:sz w:val="24"/>
                <w:szCs w:val="24"/>
                <w:highlight w:val="none"/>
              </w:rPr>
              <w:t>年1月1日以来，供应商提供类似项目业绩或提供配送医院的服务满意证明，每提供1个得</w:t>
            </w:r>
            <w:r>
              <w:rPr>
                <w:rFonts w:hint="eastAsia" w:hAnsi="宋体" w:cs="宋体"/>
                <w:color w:val="auto"/>
                <w:kern w:val="2"/>
                <w:sz w:val="24"/>
                <w:szCs w:val="24"/>
                <w:highlight w:val="none"/>
                <w:lang w:val="en-US" w:eastAsia="zh-CN"/>
              </w:rPr>
              <w:t>1</w:t>
            </w:r>
            <w:r>
              <w:rPr>
                <w:rFonts w:hint="eastAsia" w:hAnsi="宋体" w:cs="宋体"/>
                <w:color w:val="auto"/>
                <w:kern w:val="2"/>
                <w:sz w:val="24"/>
                <w:szCs w:val="24"/>
                <w:highlight w:val="none"/>
              </w:rPr>
              <w:t>分，最多得</w:t>
            </w: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 xml:space="preserve">分。 </w:t>
            </w:r>
          </w:p>
        </w:tc>
        <w:tc>
          <w:tcPr>
            <w:tcW w:w="2077" w:type="dxa"/>
            <w:tcBorders>
              <w:top w:val="single" w:color="auto" w:sz="4" w:space="0"/>
              <w:left w:val="nil"/>
              <w:bottom w:val="single" w:color="auto" w:sz="4" w:space="0"/>
              <w:right w:val="single" w:color="auto" w:sz="4" w:space="0"/>
            </w:tcBorders>
            <w:noWrap w:val="0"/>
            <w:vAlign w:val="center"/>
          </w:tcPr>
          <w:p w14:paraId="5AE3B03B">
            <w:pPr>
              <w:keepNext w:val="0"/>
              <w:keepLines w:val="0"/>
              <w:widowControl/>
              <w:suppressLineNumbers w:val="0"/>
              <w:shd w:val="clear" w:color="auto" w:fill="auto"/>
              <w:spacing w:before="0" w:beforeAutospacing="0" w:after="50" w:afterAutospacing="0"/>
              <w:ind w:left="0" w:right="0"/>
              <w:jc w:val="left"/>
              <w:rPr>
                <w:rFonts w:hint="eastAsia" w:hAnsi="宋体" w:cs="宋体"/>
                <w:color w:val="auto"/>
                <w:kern w:val="2"/>
                <w:sz w:val="24"/>
                <w:szCs w:val="24"/>
                <w:highlight w:val="none"/>
              </w:rPr>
            </w:pPr>
            <w:r>
              <w:rPr>
                <w:rFonts w:hint="eastAsia" w:hAnsi="宋体" w:cs="宋体"/>
                <w:color w:val="auto"/>
                <w:kern w:val="2"/>
                <w:sz w:val="24"/>
                <w:szCs w:val="24"/>
                <w:highlight w:val="none"/>
              </w:rPr>
              <w:t>提供合同的复印件或者中标（或成交）通知书复印件或配送医院的服务满意证明作为证明材料（加盖供应商公章）。未提供或提供无效证明材料的不得分）</w:t>
            </w:r>
          </w:p>
        </w:tc>
      </w:tr>
    </w:tbl>
    <w:p w14:paraId="1429C96B">
      <w:pPr>
        <w:shd w:val="clear" w:color="auto" w:fill="auto"/>
        <w:tabs>
          <w:tab w:val="left" w:pos="851"/>
        </w:tabs>
        <w:spacing w:line="400" w:lineRule="exact"/>
        <w:ind w:firstLine="482" w:firstLineChars="200"/>
        <w:outlineLvl w:val="1"/>
        <w:rPr>
          <w:rFonts w:hint="eastAsia" w:hAnsi="宋体" w:cs="宋体"/>
          <w:b/>
          <w:color w:val="auto"/>
          <w:sz w:val="24"/>
          <w:highlight w:val="none"/>
        </w:rPr>
      </w:pPr>
      <w:bookmarkStart w:id="673" w:name="_Toc22038"/>
      <w:bookmarkStart w:id="674" w:name="_Toc18831"/>
      <w:bookmarkStart w:id="675" w:name="_Toc13841"/>
      <w:r>
        <w:rPr>
          <w:rFonts w:hint="eastAsia" w:hAnsi="宋体" w:cs="宋体"/>
          <w:b/>
          <w:color w:val="auto"/>
          <w:sz w:val="24"/>
          <w:highlight w:val="none"/>
        </w:rPr>
        <w:t>4.磋商纪律及注意事项</w:t>
      </w:r>
      <w:bookmarkEnd w:id="665"/>
      <w:bookmarkEnd w:id="666"/>
      <w:bookmarkEnd w:id="667"/>
      <w:bookmarkEnd w:id="668"/>
      <w:bookmarkEnd w:id="669"/>
      <w:bookmarkEnd w:id="670"/>
      <w:bookmarkEnd w:id="671"/>
      <w:bookmarkEnd w:id="673"/>
      <w:bookmarkEnd w:id="674"/>
      <w:bookmarkEnd w:id="675"/>
    </w:p>
    <w:p w14:paraId="482AD512">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4.1磋商小组内部讨论的情况和意见必须保密，任何人不得以任何形式透露给供应商或与供应商有关的单位或个人。</w:t>
      </w:r>
    </w:p>
    <w:p w14:paraId="19C08E5B">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4.2在磋商过程中，供应商不得以任何形式对磋商小组成员进行旨在影响磋商结果的私下接触，否则将取消其参与磋商的资格。</w:t>
      </w:r>
    </w:p>
    <w:p w14:paraId="5866E972">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4.3对各供应商的商业秘密，磋商小组成员应予以保密，不得泄露给其他供应商。</w:t>
      </w:r>
    </w:p>
    <w:p w14:paraId="1D06F8F4">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4.4 磋商小组独立评判，推荐成交候选人，并写出书面报告。</w:t>
      </w:r>
    </w:p>
    <w:p w14:paraId="3C1B8E4F">
      <w:pPr>
        <w:shd w:val="clear" w:color="auto" w:fill="auto"/>
        <w:tabs>
          <w:tab w:val="left" w:pos="851"/>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4.5 磋商小组可根据需要对供应商进行实地考察。</w:t>
      </w:r>
    </w:p>
    <w:p w14:paraId="1F8E2614">
      <w:pPr>
        <w:pStyle w:val="13"/>
        <w:numPr>
          <w:ilvl w:val="0"/>
          <w:numId w:val="0"/>
        </w:numPr>
        <w:shd w:val="clear" w:color="auto" w:fill="auto"/>
        <w:rPr>
          <w:rFonts w:hint="eastAsia" w:ascii="宋体" w:hAnsi="宋体" w:eastAsia="宋体" w:cs="宋体"/>
          <w:color w:val="auto"/>
          <w:sz w:val="24"/>
          <w:highlight w:val="none"/>
        </w:rPr>
      </w:pPr>
    </w:p>
    <w:p w14:paraId="7424831A">
      <w:pPr>
        <w:shd w:val="clear" w:color="auto" w:fill="auto"/>
        <w:tabs>
          <w:tab w:val="left" w:pos="7665"/>
        </w:tabs>
        <w:spacing w:line="400" w:lineRule="exact"/>
        <w:ind w:firstLine="480" w:firstLineChars="200"/>
        <w:outlineLvl w:val="1"/>
        <w:rPr>
          <w:rFonts w:hint="eastAsia" w:hAnsi="宋体" w:cs="宋体"/>
          <w:b/>
          <w:color w:val="auto"/>
          <w:sz w:val="24"/>
          <w:highlight w:val="none"/>
        </w:rPr>
      </w:pPr>
      <w:bookmarkStart w:id="676" w:name="_Toc2653"/>
      <w:bookmarkStart w:id="677" w:name="_Toc26282"/>
      <w:bookmarkStart w:id="678" w:name="_Toc163"/>
      <w:bookmarkStart w:id="679" w:name="_Toc24368"/>
      <w:bookmarkStart w:id="680" w:name="_Toc18676"/>
      <w:bookmarkStart w:id="681" w:name="_Toc11095"/>
      <w:bookmarkStart w:id="682" w:name="_Toc28307"/>
      <w:bookmarkStart w:id="683" w:name="_Toc16528"/>
      <w:bookmarkStart w:id="684" w:name="_Toc7593"/>
      <w:bookmarkStart w:id="685" w:name="_Toc22409"/>
      <w:r>
        <w:rPr>
          <w:rFonts w:hint="eastAsia" w:hAnsi="宋体" w:cs="宋体"/>
          <w:color w:val="auto"/>
          <w:sz w:val="24"/>
          <w:highlight w:val="none"/>
        </w:rPr>
        <w:t>5.</w:t>
      </w:r>
      <w:bookmarkEnd w:id="672"/>
      <w:r>
        <w:rPr>
          <w:rFonts w:hint="eastAsia" w:hAnsi="宋体" w:cs="宋体"/>
          <w:b/>
          <w:color w:val="auto"/>
          <w:sz w:val="24"/>
          <w:highlight w:val="none"/>
        </w:rPr>
        <w:t>磋商小组在采购活动中承担以下义务：</w:t>
      </w:r>
      <w:bookmarkEnd w:id="676"/>
      <w:bookmarkEnd w:id="677"/>
      <w:bookmarkEnd w:id="678"/>
      <w:bookmarkEnd w:id="679"/>
      <w:bookmarkEnd w:id="680"/>
      <w:bookmarkEnd w:id="681"/>
      <w:bookmarkEnd w:id="682"/>
      <w:bookmarkEnd w:id="683"/>
      <w:bookmarkEnd w:id="684"/>
      <w:bookmarkEnd w:id="685"/>
    </w:p>
    <w:p w14:paraId="516C8874">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（一）遵守评审工作纪律；</w:t>
      </w:r>
    </w:p>
    <w:p w14:paraId="7A9CC548">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（二）按照客观、公正、审慎的原则，根据磋商文件规定的评审程序、评审方法和评审标准进行独立评审；</w:t>
      </w:r>
    </w:p>
    <w:p w14:paraId="469E2BFA">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（三）不得泄露评审文件、评审情况和在评审过程中获悉的商业秘密；</w:t>
      </w:r>
    </w:p>
    <w:p w14:paraId="72171A03">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73D2798B">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14:paraId="0AC9ECBD">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（六）及时向财政、监察等部门举报在评审过程中受到非法干预的情况；</w:t>
      </w:r>
    </w:p>
    <w:p w14:paraId="05CBCFC8">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（七）配合答复处理供应商的询问、质疑和投诉等事项；</w:t>
      </w:r>
    </w:p>
    <w:p w14:paraId="421BB703">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（八）法律、法规和规章规定的其他义务。</w:t>
      </w:r>
    </w:p>
    <w:p w14:paraId="0235A46D">
      <w:pPr>
        <w:shd w:val="clear" w:color="auto" w:fill="auto"/>
        <w:tabs>
          <w:tab w:val="left" w:pos="7665"/>
        </w:tabs>
        <w:spacing w:line="400" w:lineRule="exact"/>
        <w:rPr>
          <w:rFonts w:hint="eastAsia" w:hAnsi="宋体" w:cs="宋体"/>
          <w:color w:val="auto"/>
          <w:sz w:val="24"/>
          <w:highlight w:val="none"/>
        </w:rPr>
      </w:pPr>
    </w:p>
    <w:p w14:paraId="026DE6E3">
      <w:pPr>
        <w:shd w:val="clear" w:color="auto" w:fill="auto"/>
        <w:tabs>
          <w:tab w:val="left" w:pos="7665"/>
        </w:tabs>
        <w:spacing w:line="400" w:lineRule="exact"/>
        <w:ind w:firstLine="482" w:firstLineChars="200"/>
        <w:outlineLvl w:val="1"/>
        <w:rPr>
          <w:rFonts w:hint="eastAsia" w:hAnsi="宋体" w:cs="宋体"/>
          <w:b/>
          <w:color w:val="auto"/>
          <w:sz w:val="24"/>
          <w:highlight w:val="none"/>
        </w:rPr>
      </w:pPr>
      <w:bookmarkStart w:id="686" w:name="_Toc8602"/>
      <w:bookmarkStart w:id="687" w:name="_Toc5574"/>
      <w:bookmarkStart w:id="688" w:name="_Toc22653"/>
      <w:bookmarkStart w:id="689" w:name="_Toc17781"/>
      <w:bookmarkStart w:id="690" w:name="_Toc22045"/>
      <w:bookmarkStart w:id="691" w:name="_Toc24489"/>
      <w:bookmarkStart w:id="692" w:name="_Toc5568"/>
      <w:bookmarkStart w:id="693" w:name="_Toc24226"/>
      <w:bookmarkStart w:id="694" w:name="_Toc1490"/>
      <w:bookmarkStart w:id="695" w:name="_Toc19719"/>
      <w:r>
        <w:rPr>
          <w:rFonts w:hint="eastAsia" w:hAnsi="宋体" w:cs="宋体"/>
          <w:b/>
          <w:color w:val="auto"/>
          <w:sz w:val="24"/>
          <w:highlight w:val="none"/>
        </w:rPr>
        <w:t>6.评审专家在采购活动中应当遵守以下工作纪律：</w:t>
      </w:r>
      <w:bookmarkEnd w:id="686"/>
      <w:bookmarkEnd w:id="687"/>
      <w:bookmarkEnd w:id="688"/>
      <w:bookmarkEnd w:id="689"/>
      <w:bookmarkEnd w:id="690"/>
      <w:bookmarkEnd w:id="691"/>
      <w:bookmarkEnd w:id="692"/>
      <w:bookmarkEnd w:id="693"/>
      <w:bookmarkEnd w:id="694"/>
      <w:bookmarkEnd w:id="695"/>
    </w:p>
    <w:p w14:paraId="0C5A8534">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（一）不得参加与自己有《中华人民共和国采购法实施条例》第九条规定的利害关系的采购项目的评标活动。发现参加了与自己有利害关系的评审活动，须主动提出回避，退出评审；</w:t>
      </w:r>
    </w:p>
    <w:p w14:paraId="3B37C4BE">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（二）评审前，应当将通讯工具或者相关电子设备交由采购代理机构统一保管；</w:t>
      </w:r>
    </w:p>
    <w:p w14:paraId="71D77BDB">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（三）评审过程中，不得与外界联系，因发生不可预见情况，确实需要与外界联系的，应当在监督人员监督之下办理；</w:t>
      </w:r>
    </w:p>
    <w:p w14:paraId="700761E6">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465FA55E">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（五）在评审过程中和评审结束后，不得记录、复制或带走任何评审资料，不得向外界透露评审内容；</w:t>
      </w:r>
    </w:p>
    <w:p w14:paraId="0A139DF6">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（六）评审现场服从采购代理机构工作人员的管理，接受现场监督人员的合法监督；</w:t>
      </w:r>
    </w:p>
    <w:p w14:paraId="4BE86256">
      <w:pPr>
        <w:shd w:val="clear" w:color="auto" w:fill="auto"/>
        <w:tabs>
          <w:tab w:val="left" w:pos="7665"/>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（七）遵守有关廉洁自律规定，不得私下接触供应商，不得收受供应商及有关业务单位和个人的财物或好处，不得接受采购代理机构的请托。</w:t>
      </w:r>
    </w:p>
    <w:p w14:paraId="2B048710">
      <w:pPr>
        <w:shd w:val="clear" w:color="auto" w:fill="auto"/>
        <w:tabs>
          <w:tab w:val="left" w:pos="7665"/>
        </w:tabs>
        <w:spacing w:line="400" w:lineRule="exact"/>
        <w:jc w:val="center"/>
        <w:outlineLvl w:val="0"/>
        <w:rPr>
          <w:rFonts w:hint="eastAsia" w:hAnsi="宋体" w:cs="宋体"/>
          <w:b/>
          <w:bCs/>
          <w:color w:val="auto"/>
          <w:sz w:val="32"/>
          <w:szCs w:val="32"/>
          <w:highlight w:val="none"/>
        </w:rPr>
      </w:pPr>
      <w:r>
        <w:rPr>
          <w:rFonts w:hint="eastAsia" w:hAnsi="宋体" w:cs="宋体"/>
          <w:b/>
          <w:bCs/>
          <w:color w:val="auto"/>
          <w:sz w:val="32"/>
          <w:szCs w:val="32"/>
          <w:highlight w:val="none"/>
        </w:rPr>
        <w:br w:type="page"/>
      </w:r>
      <w:bookmarkStart w:id="696" w:name="_Toc2351"/>
      <w:bookmarkStart w:id="697" w:name="_Toc5370"/>
      <w:bookmarkStart w:id="698" w:name="_Toc3757"/>
      <w:bookmarkStart w:id="699" w:name="_Toc20361"/>
      <w:bookmarkStart w:id="700" w:name="_Toc25287"/>
      <w:bookmarkStart w:id="701" w:name="_Toc20395"/>
      <w:bookmarkStart w:id="702" w:name="_Toc6102"/>
      <w:bookmarkStart w:id="703" w:name="_Toc12694"/>
      <w:bookmarkStart w:id="704" w:name="_Toc6619"/>
      <w:bookmarkStart w:id="705" w:name="_Toc32673"/>
      <w:bookmarkStart w:id="706" w:name="_Toc6045"/>
      <w:bookmarkStart w:id="707" w:name="_Toc20365"/>
      <w:bookmarkStart w:id="708" w:name="_Toc21357"/>
      <w:r>
        <w:rPr>
          <w:rFonts w:hint="eastAsia" w:hAnsi="宋体" w:cs="宋体"/>
          <w:b/>
          <w:bCs/>
          <w:color w:val="auto"/>
          <w:sz w:val="32"/>
          <w:szCs w:val="32"/>
          <w:highlight w:val="none"/>
        </w:rPr>
        <w:t>第八章 采购合同</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01578B8B">
      <w:pPr>
        <w:pStyle w:val="13"/>
        <w:numPr>
          <w:ilvl w:val="0"/>
          <w:numId w:val="0"/>
        </w:numPr>
        <w:shd w:val="clear" w:color="auto" w:fill="auto"/>
        <w:ind w:left="2552"/>
        <w:rPr>
          <w:rFonts w:hint="eastAsia" w:ascii="宋体" w:hAnsi="宋体" w:eastAsia="宋体" w:cs="宋体"/>
          <w:color w:val="auto"/>
          <w:highlight w:val="none"/>
        </w:rPr>
      </w:pPr>
    </w:p>
    <w:bookmarkEnd w:id="291"/>
    <w:bookmarkEnd w:id="292"/>
    <w:bookmarkEnd w:id="293"/>
    <w:p w14:paraId="703C8F2F">
      <w:pPr>
        <w:shd w:val="clear" w:color="auto" w:fill="auto"/>
        <w:jc w:val="center"/>
        <w:rPr>
          <w:rFonts w:hint="eastAsia" w:hAnsi="宋体" w:cs="宋体"/>
          <w:b/>
          <w:bCs/>
          <w:color w:val="auto"/>
          <w:sz w:val="20"/>
          <w:highlight w:val="none"/>
        </w:rPr>
      </w:pPr>
      <w:bookmarkStart w:id="709" w:name="_Hlt101846155"/>
      <w:bookmarkEnd w:id="709"/>
      <w:r>
        <w:rPr>
          <w:rFonts w:hint="eastAsia" w:hAnsi="宋体" w:cs="宋体"/>
          <w:b/>
          <w:bCs/>
          <w:color w:val="auto"/>
          <w:sz w:val="20"/>
          <w:highlight w:val="none"/>
        </w:rPr>
        <w:t>（本合同由采购人和供应商根据采购文件的要求和实际情况自行拟定）</w:t>
      </w:r>
    </w:p>
    <w:p w14:paraId="214F3F37">
      <w:pPr>
        <w:shd w:val="clear" w:color="auto" w:fill="auto"/>
        <w:spacing w:line="360" w:lineRule="auto"/>
        <w:rPr>
          <w:rFonts w:hint="eastAsia" w:hAnsi="宋体" w:cs="宋体"/>
          <w:color w:val="auto"/>
          <w:sz w:val="24"/>
          <w:highlight w:val="none"/>
        </w:rPr>
      </w:pPr>
    </w:p>
    <w:p w14:paraId="2DD97492">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合同编号：XXXX。</w:t>
      </w:r>
    </w:p>
    <w:p w14:paraId="48B554FE">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签订地点：XXXX。</w:t>
      </w:r>
    </w:p>
    <w:p w14:paraId="1DC26FB4">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签订时间：XXXX年XX月XX日。</w:t>
      </w:r>
    </w:p>
    <w:p w14:paraId="0AE12530">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采购人（甲方）：</w:t>
      </w:r>
      <w:r>
        <w:rPr>
          <w:rFonts w:hint="eastAsia" w:hAnsi="宋体" w:cs="宋体"/>
          <w:color w:val="auto"/>
          <w:sz w:val="24"/>
          <w:szCs w:val="24"/>
          <w:highlight w:val="none"/>
          <w:u w:val="single"/>
        </w:rPr>
        <w:t xml:space="preserve">                              </w:t>
      </w:r>
    </w:p>
    <w:p w14:paraId="01882629">
      <w:pPr>
        <w:shd w:val="clear" w:color="auto" w:fill="auto"/>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供应商（乙方）：</w:t>
      </w:r>
      <w:r>
        <w:rPr>
          <w:rFonts w:hint="eastAsia" w:hAnsi="宋体" w:cs="宋体"/>
          <w:color w:val="auto"/>
          <w:sz w:val="24"/>
          <w:szCs w:val="24"/>
          <w:highlight w:val="none"/>
          <w:u w:val="single"/>
        </w:rPr>
        <w:t xml:space="preserve">                              </w:t>
      </w:r>
    </w:p>
    <w:p w14:paraId="19A0FD5F">
      <w:pPr>
        <w:shd w:val="clear" w:color="auto" w:fill="auto"/>
        <w:spacing w:line="360" w:lineRule="auto"/>
        <w:ind w:firstLine="480" w:firstLineChars="200"/>
        <w:rPr>
          <w:rFonts w:hint="eastAsia" w:hAnsi="宋体" w:cs="宋体"/>
          <w:color w:val="auto"/>
          <w:sz w:val="24"/>
          <w:szCs w:val="24"/>
          <w:highlight w:val="none"/>
        </w:rPr>
      </w:pPr>
    </w:p>
    <w:p w14:paraId="4480A09C">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参照《中华人民共和国民法典》、《中华人民共和国政府采购法》与项目行业有关的法律法规，以及XXXX项目（项目编号：XXXX）的《竞争性磋商文件》，乙方的《响应文件》及《成交通知书》，甲、乙双方同意签订本合同。详细技术说明及其他有关合同项目的特定信息由合同附件予以说明，合同附件及本项目的《竞争性磋商文件》、《响应文件》、《成交通知书》等均为本合同的组成部分。 </w:t>
      </w:r>
    </w:p>
    <w:p w14:paraId="136C3FA3">
      <w:pPr>
        <w:numPr>
          <w:ilvl w:val="0"/>
          <w:numId w:val="6"/>
        </w:numPr>
        <w:shd w:val="clear" w:color="auto" w:fill="auto"/>
        <w:spacing w:line="360" w:lineRule="auto"/>
        <w:outlineLvl w:val="9"/>
        <w:rPr>
          <w:rFonts w:hint="eastAsia" w:hAnsi="宋体" w:cs="宋体"/>
          <w:b/>
          <w:color w:val="auto"/>
          <w:sz w:val="24"/>
          <w:szCs w:val="24"/>
          <w:highlight w:val="none"/>
        </w:rPr>
      </w:pPr>
      <w:bookmarkStart w:id="710" w:name="_Toc7345"/>
      <w:bookmarkStart w:id="711" w:name="_Toc19587"/>
      <w:bookmarkStart w:id="712" w:name="_Toc24262"/>
      <w:bookmarkStart w:id="713" w:name="_Toc4838"/>
      <w:bookmarkStart w:id="714" w:name="_Toc20903"/>
      <w:r>
        <w:rPr>
          <w:rFonts w:hint="eastAsia" w:hAnsi="宋体" w:cs="宋体"/>
          <w:b/>
          <w:color w:val="auto"/>
          <w:sz w:val="24"/>
          <w:szCs w:val="24"/>
          <w:highlight w:val="none"/>
        </w:rPr>
        <w:t>项目基本情况</w:t>
      </w:r>
      <w:bookmarkEnd w:id="710"/>
      <w:bookmarkEnd w:id="711"/>
      <w:bookmarkEnd w:id="712"/>
      <w:bookmarkEnd w:id="713"/>
      <w:bookmarkEnd w:id="714"/>
    </w:p>
    <w:p w14:paraId="30DEFD9E">
      <w:pPr>
        <w:numPr>
          <w:ilvl w:val="0"/>
          <w:numId w:val="6"/>
        </w:numPr>
        <w:shd w:val="clear" w:color="auto" w:fill="auto"/>
        <w:spacing w:line="360" w:lineRule="auto"/>
        <w:outlineLvl w:val="9"/>
        <w:rPr>
          <w:rFonts w:hint="eastAsia" w:hAnsi="宋体" w:cs="宋体"/>
          <w:color w:val="auto"/>
          <w:sz w:val="24"/>
          <w:szCs w:val="24"/>
          <w:highlight w:val="none"/>
        </w:rPr>
      </w:pPr>
      <w:bookmarkStart w:id="715" w:name="_Toc23628"/>
      <w:bookmarkStart w:id="716" w:name="_Toc29689"/>
      <w:bookmarkStart w:id="717" w:name="_Toc28850"/>
      <w:bookmarkStart w:id="718" w:name="_Toc29772"/>
      <w:bookmarkStart w:id="719" w:name="_Toc26119"/>
      <w:r>
        <w:rPr>
          <w:rFonts w:hint="eastAsia" w:hAnsi="宋体" w:cs="宋体"/>
          <w:b/>
          <w:color w:val="auto"/>
          <w:sz w:val="24"/>
          <w:szCs w:val="24"/>
          <w:highlight w:val="none"/>
        </w:rPr>
        <w:t>合同期限</w:t>
      </w:r>
      <w:bookmarkEnd w:id="715"/>
      <w:bookmarkEnd w:id="716"/>
      <w:bookmarkEnd w:id="717"/>
      <w:bookmarkEnd w:id="718"/>
      <w:bookmarkEnd w:id="719"/>
    </w:p>
    <w:p w14:paraId="6673C4E4">
      <w:pPr>
        <w:numPr>
          <w:ilvl w:val="0"/>
          <w:numId w:val="6"/>
        </w:numPr>
        <w:shd w:val="clear" w:color="auto" w:fill="auto"/>
        <w:spacing w:line="360" w:lineRule="auto"/>
        <w:outlineLvl w:val="9"/>
        <w:rPr>
          <w:rFonts w:hint="eastAsia" w:hAnsi="宋体" w:cs="宋体"/>
          <w:b/>
          <w:color w:val="auto"/>
          <w:sz w:val="24"/>
          <w:szCs w:val="24"/>
          <w:highlight w:val="none"/>
        </w:rPr>
      </w:pPr>
      <w:bookmarkStart w:id="720" w:name="_Toc10024"/>
      <w:bookmarkStart w:id="721" w:name="_Toc21957"/>
      <w:bookmarkStart w:id="722" w:name="_Toc23770"/>
      <w:bookmarkStart w:id="723" w:name="_Toc11686"/>
      <w:bookmarkStart w:id="724" w:name="_Toc25881"/>
      <w:bookmarkStart w:id="725" w:name="_Toc239568418"/>
      <w:bookmarkStart w:id="726" w:name="_Toc251768862"/>
      <w:bookmarkStart w:id="727" w:name="_Toc225654644"/>
      <w:bookmarkStart w:id="728" w:name="_Toc239233914"/>
      <w:bookmarkStart w:id="729" w:name="_Toc241833903"/>
      <w:bookmarkStart w:id="730" w:name="_Toc237145406"/>
      <w:bookmarkStart w:id="731" w:name="_Toc225670751"/>
      <w:bookmarkStart w:id="732" w:name="_Toc185395249"/>
      <w:bookmarkStart w:id="733" w:name="_Toc232492928"/>
      <w:bookmarkStart w:id="734" w:name="_Toc286993786"/>
      <w:bookmarkStart w:id="735" w:name="_Toc247334841"/>
      <w:bookmarkStart w:id="736" w:name="_Toc211854449"/>
      <w:bookmarkStart w:id="737" w:name="_Toc211911348"/>
      <w:bookmarkStart w:id="738" w:name="_Toc283019214"/>
      <w:bookmarkStart w:id="739" w:name="_Toc238984975"/>
      <w:bookmarkStart w:id="740" w:name="_Toc282696226"/>
      <w:bookmarkStart w:id="741" w:name="_Toc212019594"/>
      <w:bookmarkStart w:id="742" w:name="_Toc225244852"/>
      <w:r>
        <w:rPr>
          <w:rFonts w:hint="eastAsia" w:hAnsi="宋体" w:cs="宋体"/>
          <w:b/>
          <w:color w:val="auto"/>
          <w:sz w:val="24"/>
          <w:szCs w:val="24"/>
          <w:highlight w:val="none"/>
        </w:rPr>
        <w:t>服务内容与质量标准</w:t>
      </w:r>
      <w:bookmarkEnd w:id="720"/>
      <w:bookmarkEnd w:id="721"/>
      <w:bookmarkEnd w:id="722"/>
      <w:bookmarkEnd w:id="723"/>
      <w:bookmarkEnd w:id="724"/>
    </w:p>
    <w:p w14:paraId="65D52A01">
      <w:pPr>
        <w:shd w:val="clear" w:color="auto" w:fill="auto"/>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1、XXXX；</w:t>
      </w:r>
    </w:p>
    <w:p w14:paraId="178A60CC">
      <w:pPr>
        <w:shd w:val="clear" w:color="auto" w:fill="auto"/>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2、XXXX；</w:t>
      </w:r>
    </w:p>
    <w:p w14:paraId="38538321">
      <w:pPr>
        <w:shd w:val="clear" w:color="auto" w:fill="auto"/>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3、XXXX．</w:t>
      </w:r>
    </w:p>
    <w:p w14:paraId="57F3705F">
      <w:pPr>
        <w:shd w:val="clear" w:color="auto" w:fill="auto"/>
        <w:spacing w:line="360" w:lineRule="auto"/>
        <w:ind w:firstLine="630"/>
        <w:rPr>
          <w:rFonts w:hint="eastAsia" w:hAnsi="宋体" w:cs="宋体"/>
          <w:color w:val="auto"/>
          <w:sz w:val="24"/>
          <w:szCs w:val="24"/>
          <w:highlight w:val="none"/>
        </w:rPr>
      </w:pPr>
      <w:r>
        <w:rPr>
          <w:rFonts w:hint="eastAsia" w:hAnsi="宋体" w:cs="宋体"/>
          <w:color w:val="auto"/>
          <w:sz w:val="24"/>
          <w:szCs w:val="24"/>
          <w:highlight w:val="none"/>
        </w:rPr>
        <w:t>…</w:t>
      </w:r>
    </w:p>
    <w:p w14:paraId="2232C787">
      <w:pPr>
        <w:numPr>
          <w:ilvl w:val="0"/>
          <w:numId w:val="6"/>
        </w:numPr>
        <w:shd w:val="clear" w:color="auto" w:fill="auto"/>
        <w:spacing w:line="360" w:lineRule="auto"/>
        <w:outlineLvl w:val="9"/>
        <w:rPr>
          <w:rFonts w:hint="eastAsia" w:hAnsi="宋体" w:cs="宋体"/>
          <w:b/>
          <w:color w:val="auto"/>
          <w:sz w:val="24"/>
          <w:szCs w:val="24"/>
          <w:highlight w:val="none"/>
        </w:rPr>
      </w:pPr>
      <w:bookmarkStart w:id="743" w:name="_Toc26228"/>
      <w:bookmarkStart w:id="744" w:name="_Toc10330"/>
      <w:bookmarkStart w:id="745" w:name="_Toc27087"/>
      <w:bookmarkStart w:id="746" w:name="_Toc19907"/>
      <w:bookmarkStart w:id="747" w:name="_Toc21835"/>
      <w:r>
        <w:rPr>
          <w:rFonts w:hint="eastAsia" w:hAnsi="宋体" w:cs="宋体"/>
          <w:b/>
          <w:color w:val="auto"/>
          <w:sz w:val="24"/>
          <w:szCs w:val="24"/>
          <w:highlight w:val="none"/>
        </w:rPr>
        <w:t>服务费用及支付方式</w:t>
      </w:r>
      <w:bookmarkEnd w:id="743"/>
      <w:bookmarkEnd w:id="744"/>
      <w:bookmarkEnd w:id="745"/>
      <w:bookmarkEnd w:id="746"/>
      <w:bookmarkEnd w:id="747"/>
    </w:p>
    <w:p w14:paraId="1D75CCAD">
      <w:pPr>
        <w:numPr>
          <w:ilvl w:val="0"/>
          <w:numId w:val="7"/>
        </w:numPr>
        <w:shd w:val="clear" w:color="auto" w:fill="auto"/>
        <w:spacing w:line="360" w:lineRule="auto"/>
        <w:ind w:left="0" w:firstLine="567"/>
        <w:outlineLvl w:val="9"/>
        <w:rPr>
          <w:rFonts w:hint="eastAsia" w:hAnsi="宋体" w:cs="宋体"/>
          <w:b/>
          <w:color w:val="auto"/>
          <w:sz w:val="24"/>
          <w:szCs w:val="24"/>
          <w:highlight w:val="none"/>
        </w:rPr>
      </w:pPr>
      <w:r>
        <w:rPr>
          <w:rFonts w:hint="eastAsia" w:hAnsi="宋体" w:cs="宋体"/>
          <w:b/>
          <w:color w:val="auto"/>
          <w:sz w:val="24"/>
          <w:szCs w:val="24"/>
          <w:highlight w:val="none"/>
        </w:rPr>
        <w:t>本项目服务费用由以下组成：</w:t>
      </w:r>
    </w:p>
    <w:p w14:paraId="395E9298">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1、XX万元；</w:t>
      </w:r>
    </w:p>
    <w:p w14:paraId="45A53BCB">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2、XX万元；</w:t>
      </w:r>
    </w:p>
    <w:p w14:paraId="7630597B">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3、XX万元。</w:t>
      </w:r>
    </w:p>
    <w:p w14:paraId="030EBB80">
      <w:pPr>
        <w:shd w:val="clear" w:color="auto" w:fill="auto"/>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w:t>
      </w:r>
    </w:p>
    <w:p w14:paraId="5A3EF220">
      <w:pPr>
        <w:numPr>
          <w:ilvl w:val="0"/>
          <w:numId w:val="7"/>
        </w:numPr>
        <w:shd w:val="clear" w:color="auto" w:fill="auto"/>
        <w:tabs>
          <w:tab w:val="left" w:pos="780"/>
        </w:tabs>
        <w:spacing w:line="360" w:lineRule="auto"/>
        <w:ind w:left="0" w:firstLine="567"/>
        <w:outlineLvl w:val="9"/>
        <w:rPr>
          <w:rFonts w:hint="eastAsia" w:hAnsi="宋体" w:cs="宋体"/>
          <w:b/>
          <w:color w:val="auto"/>
          <w:sz w:val="24"/>
          <w:szCs w:val="24"/>
          <w:highlight w:val="none"/>
        </w:rPr>
      </w:pPr>
      <w:r>
        <w:rPr>
          <w:rFonts w:hint="eastAsia" w:hAnsi="宋体" w:cs="宋体"/>
          <w:b/>
          <w:color w:val="auto"/>
          <w:sz w:val="24"/>
          <w:szCs w:val="24"/>
          <w:highlight w:val="none"/>
        </w:rPr>
        <w:t xml:space="preserve">服务费支付方式： </w:t>
      </w:r>
    </w:p>
    <w:p w14:paraId="2A806F28">
      <w:pPr>
        <w:numPr>
          <w:ilvl w:val="0"/>
          <w:numId w:val="6"/>
        </w:numPr>
        <w:shd w:val="clear" w:color="auto" w:fill="auto"/>
        <w:spacing w:line="360" w:lineRule="auto"/>
        <w:outlineLvl w:val="9"/>
        <w:rPr>
          <w:rFonts w:hint="eastAsia" w:hAnsi="宋体" w:cs="宋体"/>
          <w:b/>
          <w:color w:val="auto"/>
          <w:sz w:val="24"/>
          <w:szCs w:val="24"/>
          <w:highlight w:val="none"/>
        </w:rPr>
      </w:pPr>
      <w:bookmarkStart w:id="748" w:name="_Toc8106"/>
      <w:bookmarkStart w:id="749" w:name="_Toc15029"/>
      <w:bookmarkStart w:id="750" w:name="_Toc29710"/>
      <w:bookmarkStart w:id="751" w:name="_Toc26677"/>
      <w:bookmarkStart w:id="752" w:name="_Toc15556"/>
      <w:r>
        <w:rPr>
          <w:rFonts w:hint="eastAsia" w:hAnsi="宋体" w:cs="宋体"/>
          <w:b/>
          <w:color w:val="auto"/>
          <w:sz w:val="24"/>
          <w:szCs w:val="24"/>
          <w:highlight w:val="none"/>
        </w:rPr>
        <w:t>知识产权</w:t>
      </w:r>
      <w:bookmarkEnd w:id="748"/>
      <w:bookmarkEnd w:id="749"/>
      <w:bookmarkEnd w:id="750"/>
      <w:bookmarkEnd w:id="751"/>
      <w:bookmarkEnd w:id="752"/>
    </w:p>
    <w:p w14:paraId="47E4075A">
      <w:pPr>
        <w:shd w:val="clear" w:color="auto" w:fill="auto"/>
        <w:tabs>
          <w:tab w:val="left" w:pos="14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乙方应保证所提供的服务或其任何一部分均不会侵犯任何第三方的专利权、商标权或著作权。</w:t>
      </w:r>
    </w:p>
    <w:p w14:paraId="4808EB51">
      <w:pPr>
        <w:numPr>
          <w:ilvl w:val="0"/>
          <w:numId w:val="6"/>
        </w:numPr>
        <w:shd w:val="clear" w:color="auto" w:fill="auto"/>
        <w:spacing w:line="360" w:lineRule="auto"/>
        <w:outlineLvl w:val="9"/>
        <w:rPr>
          <w:rFonts w:hint="eastAsia" w:hAnsi="宋体" w:cs="宋体"/>
          <w:b/>
          <w:color w:val="auto"/>
          <w:sz w:val="24"/>
          <w:szCs w:val="24"/>
          <w:highlight w:val="none"/>
        </w:rPr>
      </w:pPr>
      <w:bookmarkStart w:id="753" w:name="_Toc32425"/>
      <w:bookmarkStart w:id="754" w:name="_Toc9784"/>
      <w:bookmarkStart w:id="755" w:name="_Toc3315"/>
      <w:bookmarkStart w:id="756" w:name="_Toc23695"/>
      <w:bookmarkStart w:id="757" w:name="_Toc1353"/>
      <w:r>
        <w:rPr>
          <w:rFonts w:hint="eastAsia" w:hAnsi="宋体" w:cs="宋体"/>
          <w:b/>
          <w:color w:val="auto"/>
          <w:sz w:val="24"/>
          <w:szCs w:val="24"/>
          <w:highlight w:val="none"/>
        </w:rPr>
        <w:t>无产权瑕疵条款</w:t>
      </w:r>
      <w:bookmarkEnd w:id="753"/>
      <w:bookmarkEnd w:id="754"/>
      <w:bookmarkEnd w:id="755"/>
      <w:bookmarkEnd w:id="756"/>
      <w:bookmarkEnd w:id="757"/>
    </w:p>
    <w:p w14:paraId="1C0884C8">
      <w:pPr>
        <w:shd w:val="clear" w:color="auto" w:fill="auto"/>
        <w:tabs>
          <w:tab w:val="left" w:pos="14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09A483F5">
      <w:pPr>
        <w:numPr>
          <w:ilvl w:val="0"/>
          <w:numId w:val="6"/>
        </w:numPr>
        <w:shd w:val="clear" w:color="auto" w:fill="auto"/>
        <w:spacing w:line="360" w:lineRule="auto"/>
        <w:outlineLvl w:val="9"/>
        <w:rPr>
          <w:rFonts w:hint="eastAsia" w:hAnsi="宋体" w:cs="宋体"/>
          <w:b/>
          <w:color w:val="auto"/>
          <w:sz w:val="24"/>
          <w:szCs w:val="24"/>
          <w:highlight w:val="none"/>
        </w:rPr>
      </w:pPr>
      <w:bookmarkStart w:id="758" w:name="_Toc7305"/>
      <w:bookmarkStart w:id="759" w:name="_Toc9706"/>
      <w:bookmarkStart w:id="760" w:name="_Toc14276"/>
      <w:bookmarkStart w:id="761" w:name="_Toc2893"/>
      <w:bookmarkStart w:id="762" w:name="_Toc29222"/>
      <w:r>
        <w:rPr>
          <w:rFonts w:hint="eastAsia" w:hAnsi="宋体" w:cs="宋体"/>
          <w:b/>
          <w:color w:val="auto"/>
          <w:sz w:val="24"/>
          <w:szCs w:val="24"/>
          <w:highlight w:val="none"/>
        </w:rPr>
        <w:t>甲方的权利和义务</w:t>
      </w:r>
      <w:bookmarkEnd w:id="758"/>
      <w:bookmarkEnd w:id="759"/>
      <w:bookmarkEnd w:id="760"/>
      <w:bookmarkEnd w:id="761"/>
      <w:bookmarkEnd w:id="762"/>
    </w:p>
    <w:p w14:paraId="1C837B2C">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2FD19424">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2、甲方有权依据双方签订的考评办法对乙方提供的服务进行定期考评。当考评结果未达到标准时，有权依据考评办法约定的数额扣除履约保证金。</w:t>
      </w:r>
    </w:p>
    <w:p w14:paraId="4E66AB4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3、负责检查监督乙方管理工作的实施及制度的执行情况。</w:t>
      </w:r>
    </w:p>
    <w:p w14:paraId="2016E0B7">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4、根据本合同规定，按时向乙方支付应付服务费用。</w:t>
      </w:r>
    </w:p>
    <w:p w14:paraId="67A1C927">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5、国家法律、法规所规定由甲方承担的其它责任。</w:t>
      </w:r>
    </w:p>
    <w:p w14:paraId="2D960BB1">
      <w:pPr>
        <w:numPr>
          <w:ilvl w:val="0"/>
          <w:numId w:val="6"/>
        </w:numPr>
        <w:shd w:val="clear" w:color="auto" w:fill="auto"/>
        <w:spacing w:line="360" w:lineRule="auto"/>
        <w:outlineLvl w:val="9"/>
        <w:rPr>
          <w:rFonts w:hint="eastAsia" w:hAnsi="宋体" w:cs="宋体"/>
          <w:b/>
          <w:color w:val="auto"/>
          <w:sz w:val="24"/>
          <w:szCs w:val="24"/>
          <w:highlight w:val="none"/>
        </w:rPr>
      </w:pPr>
      <w:bookmarkStart w:id="763" w:name="_Toc30176"/>
      <w:bookmarkStart w:id="764" w:name="_Toc3165"/>
      <w:bookmarkStart w:id="765" w:name="_Toc12909"/>
      <w:bookmarkStart w:id="766" w:name="_Toc29376"/>
      <w:bookmarkStart w:id="767" w:name="_Toc25665"/>
      <w:r>
        <w:rPr>
          <w:rFonts w:hint="eastAsia" w:hAnsi="宋体" w:cs="宋体"/>
          <w:b/>
          <w:color w:val="auto"/>
          <w:sz w:val="24"/>
          <w:szCs w:val="24"/>
          <w:highlight w:val="none"/>
        </w:rPr>
        <w:t>乙方的权利和义务</w:t>
      </w:r>
      <w:bookmarkEnd w:id="763"/>
      <w:bookmarkEnd w:id="764"/>
      <w:bookmarkEnd w:id="765"/>
      <w:bookmarkEnd w:id="766"/>
      <w:bookmarkEnd w:id="767"/>
    </w:p>
    <w:p w14:paraId="43FE879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1、对本合同规定的委托服务范围内的项目享有管理权及服务义务。</w:t>
      </w:r>
    </w:p>
    <w:p w14:paraId="09B20F5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2、根据本合同的规定向甲方收取相关服务费用，并有权在本项目管理范围内管理及合理使用。</w:t>
      </w:r>
    </w:p>
    <w:p w14:paraId="067FE609">
      <w:pPr>
        <w:shd w:val="clear" w:color="auto" w:fill="auto"/>
        <w:adjustRightInd w:val="0"/>
        <w:spacing w:line="360" w:lineRule="auto"/>
        <w:ind w:firstLine="480" w:firstLineChars="200"/>
        <w:jc w:val="left"/>
        <w:textAlignment w:val="baseline"/>
        <w:rPr>
          <w:rFonts w:hint="eastAsia" w:hAnsi="宋体" w:cs="宋体"/>
          <w:color w:val="auto"/>
          <w:sz w:val="24"/>
          <w:szCs w:val="24"/>
          <w:highlight w:val="none"/>
        </w:rPr>
      </w:pPr>
      <w:r>
        <w:rPr>
          <w:rFonts w:hint="eastAsia" w:hAnsi="宋体" w:cs="宋体"/>
          <w:color w:val="auto"/>
          <w:sz w:val="24"/>
          <w:szCs w:val="24"/>
          <w:highlight w:val="none"/>
        </w:rPr>
        <w:t>3、及时向甲方通告本项目服务范围内有关服务的重大事项，及时配合处理投诉。</w:t>
      </w:r>
    </w:p>
    <w:p w14:paraId="2497DAFC">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color w:val="auto"/>
          <w:sz w:val="24"/>
          <w:szCs w:val="24"/>
          <w:highlight w:val="none"/>
        </w:rPr>
        <w:t>4、</w:t>
      </w:r>
      <w:r>
        <w:rPr>
          <w:rFonts w:hint="eastAsia" w:hAnsi="宋体" w:cs="宋体"/>
          <w:bCs/>
          <w:color w:val="auto"/>
          <w:sz w:val="24"/>
          <w:szCs w:val="24"/>
          <w:highlight w:val="none"/>
        </w:rPr>
        <w:t>接受项目行业管理部门及政府有关部门的指导，接受甲方的监督。</w:t>
      </w:r>
    </w:p>
    <w:p w14:paraId="105FAE8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5、国家法律、法规所规定由乙方承担的其它责任。</w:t>
      </w:r>
    </w:p>
    <w:p w14:paraId="7F5E9C28">
      <w:pPr>
        <w:numPr>
          <w:ilvl w:val="0"/>
          <w:numId w:val="6"/>
        </w:numPr>
        <w:shd w:val="clear" w:color="auto" w:fill="auto"/>
        <w:spacing w:line="360" w:lineRule="auto"/>
        <w:outlineLvl w:val="9"/>
        <w:rPr>
          <w:rFonts w:hint="eastAsia" w:hAnsi="宋体" w:cs="宋体"/>
          <w:b/>
          <w:color w:val="auto"/>
          <w:sz w:val="24"/>
          <w:szCs w:val="24"/>
          <w:highlight w:val="none"/>
        </w:rPr>
      </w:pPr>
      <w:bookmarkStart w:id="768" w:name="_Toc17091"/>
      <w:bookmarkStart w:id="769" w:name="_Toc32580"/>
      <w:bookmarkStart w:id="770" w:name="_Toc28588"/>
      <w:bookmarkStart w:id="771" w:name="_Toc3734"/>
      <w:bookmarkStart w:id="772" w:name="_Toc25626"/>
      <w:r>
        <w:rPr>
          <w:rFonts w:hint="eastAsia" w:hAnsi="宋体" w:cs="宋体"/>
          <w:b/>
          <w:color w:val="auto"/>
          <w:sz w:val="24"/>
          <w:szCs w:val="24"/>
          <w:highlight w:val="none"/>
        </w:rPr>
        <w:t>违约责任</w:t>
      </w:r>
      <w:bookmarkEnd w:id="768"/>
      <w:bookmarkEnd w:id="769"/>
      <w:bookmarkEnd w:id="770"/>
      <w:bookmarkEnd w:id="771"/>
      <w:bookmarkEnd w:id="772"/>
    </w:p>
    <w:p w14:paraId="389B3F74">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1、甲乙双方必须遵守本合同并执行合同中的各项规定，保证本合同的正常履行。</w:t>
      </w:r>
    </w:p>
    <w:p w14:paraId="047D45D1">
      <w:pPr>
        <w:shd w:val="clear" w:color="auto" w:fill="auto"/>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E8BA13A">
      <w:pPr>
        <w:numPr>
          <w:ilvl w:val="0"/>
          <w:numId w:val="6"/>
        </w:numPr>
        <w:shd w:val="clear" w:color="auto" w:fill="auto"/>
        <w:spacing w:line="360" w:lineRule="auto"/>
        <w:outlineLvl w:val="9"/>
        <w:rPr>
          <w:rFonts w:hint="eastAsia" w:hAnsi="宋体" w:cs="宋体"/>
          <w:b/>
          <w:color w:val="auto"/>
          <w:sz w:val="24"/>
          <w:szCs w:val="24"/>
          <w:highlight w:val="none"/>
        </w:rPr>
      </w:pPr>
      <w:bookmarkStart w:id="773" w:name="_Toc17590"/>
      <w:bookmarkStart w:id="774" w:name="_Toc4144"/>
      <w:bookmarkStart w:id="775" w:name="_Toc18320"/>
      <w:bookmarkStart w:id="776" w:name="_Toc3719"/>
      <w:bookmarkStart w:id="777" w:name="_Toc13063"/>
      <w:r>
        <w:rPr>
          <w:rFonts w:hint="eastAsia" w:hAnsi="宋体" w:cs="宋体"/>
          <w:b/>
          <w:color w:val="auto"/>
          <w:sz w:val="24"/>
          <w:szCs w:val="24"/>
          <w:highlight w:val="none"/>
        </w:rPr>
        <w:t>不可抗力事件处理</w:t>
      </w:r>
      <w:bookmarkEnd w:id="773"/>
      <w:bookmarkEnd w:id="774"/>
      <w:bookmarkEnd w:id="775"/>
      <w:bookmarkEnd w:id="776"/>
      <w:bookmarkEnd w:id="777"/>
    </w:p>
    <w:p w14:paraId="5715765B">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78B5B3BF">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A156E2D">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3、不可抗力事件延续XX天以上，双方应通过友好协商，确定是否继续履行合同。</w:t>
      </w:r>
    </w:p>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14:paraId="791AE7C6">
      <w:pPr>
        <w:numPr>
          <w:ilvl w:val="0"/>
          <w:numId w:val="6"/>
        </w:numPr>
        <w:shd w:val="clear" w:color="auto" w:fill="auto"/>
        <w:spacing w:line="360" w:lineRule="auto"/>
        <w:outlineLvl w:val="9"/>
        <w:rPr>
          <w:rFonts w:hint="eastAsia" w:hAnsi="宋体" w:cs="宋体"/>
          <w:b/>
          <w:color w:val="auto"/>
          <w:sz w:val="24"/>
          <w:szCs w:val="24"/>
          <w:highlight w:val="none"/>
        </w:rPr>
      </w:pPr>
      <w:bookmarkStart w:id="778" w:name="_Toc7583"/>
      <w:bookmarkStart w:id="779" w:name="_Toc211854454"/>
      <w:bookmarkStart w:id="780" w:name="_Toc239233919"/>
      <w:bookmarkStart w:id="781" w:name="_Toc1780"/>
      <w:bookmarkStart w:id="782" w:name="_Toc225670756"/>
      <w:bookmarkStart w:id="783" w:name="_Toc225654649"/>
      <w:bookmarkStart w:id="784" w:name="_Toc211911353"/>
      <w:bookmarkStart w:id="785" w:name="_Toc19270"/>
      <w:bookmarkStart w:id="786" w:name="_Toc212019599"/>
      <w:bookmarkStart w:id="787" w:name="_Toc8679"/>
      <w:bookmarkStart w:id="788" w:name="_Toc225244857"/>
      <w:bookmarkStart w:id="789" w:name="_Toc238984980"/>
      <w:bookmarkStart w:id="790" w:name="_Toc286993792"/>
      <w:bookmarkStart w:id="791" w:name="_Toc20022"/>
      <w:bookmarkStart w:id="792" w:name="_Toc232492933"/>
      <w:bookmarkStart w:id="793" w:name="_Toc237145411"/>
      <w:bookmarkStart w:id="794" w:name="_Toc239568423"/>
      <w:bookmarkStart w:id="795" w:name="_Toc185395254"/>
      <w:bookmarkStart w:id="796" w:name="_Toc241833908"/>
      <w:bookmarkStart w:id="797" w:name="_Toc247334846"/>
      <w:bookmarkStart w:id="798" w:name="_Toc251768867"/>
      <w:r>
        <w:rPr>
          <w:rFonts w:hint="eastAsia" w:hAnsi="宋体" w:cs="宋体"/>
          <w:b/>
          <w:color w:val="auto"/>
          <w:sz w:val="24"/>
          <w:szCs w:val="24"/>
          <w:highlight w:val="none"/>
        </w:rPr>
        <w:t>解决合同纠纷的方式</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00407552">
      <w:pPr>
        <w:shd w:val="clear" w:color="auto" w:fill="auto"/>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1、在执行本合同中发生的或与本合同有关的争端，双方应通过友好协商解决，经协商在XX天内不能达成协议时，应提交</w:t>
      </w:r>
      <w:r>
        <w:rPr>
          <w:rFonts w:hint="eastAsia" w:hAnsi="宋体" w:cs="宋体"/>
          <w:color w:val="auto"/>
          <w:sz w:val="24"/>
          <w:szCs w:val="24"/>
          <w:highlight w:val="none"/>
          <w:lang w:val="en-US" w:eastAsia="zh-CN"/>
        </w:rPr>
        <w:t>内江市东兴区</w:t>
      </w:r>
      <w:r>
        <w:rPr>
          <w:rFonts w:hint="eastAsia" w:hAnsi="宋体" w:cs="宋体"/>
          <w:color w:val="auto"/>
          <w:sz w:val="24"/>
          <w:szCs w:val="24"/>
          <w:highlight w:val="none"/>
          <w:lang w:eastAsia="zh-Hans"/>
        </w:rPr>
        <w:t>人民法院诉讼解决</w:t>
      </w:r>
      <w:r>
        <w:rPr>
          <w:rFonts w:hint="eastAsia" w:hAnsi="宋体" w:cs="宋体"/>
          <w:color w:val="auto"/>
          <w:sz w:val="24"/>
          <w:szCs w:val="24"/>
          <w:highlight w:val="none"/>
        </w:rPr>
        <w:t xml:space="preserve">。  </w:t>
      </w:r>
    </w:p>
    <w:p w14:paraId="5F01B700">
      <w:pPr>
        <w:numPr>
          <w:ilvl w:val="0"/>
          <w:numId w:val="6"/>
        </w:numPr>
        <w:shd w:val="clear" w:color="auto" w:fill="auto"/>
        <w:spacing w:line="360" w:lineRule="auto"/>
        <w:ind w:left="1519" w:hanging="1094"/>
        <w:outlineLvl w:val="9"/>
        <w:rPr>
          <w:rFonts w:hint="eastAsia" w:hAnsi="宋体" w:cs="宋体"/>
          <w:b/>
          <w:color w:val="auto"/>
          <w:sz w:val="24"/>
          <w:szCs w:val="24"/>
          <w:highlight w:val="none"/>
        </w:rPr>
      </w:pPr>
      <w:bookmarkStart w:id="799" w:name="_Toc241833909"/>
      <w:bookmarkStart w:id="800" w:name="_Toc211911354"/>
      <w:bookmarkStart w:id="801" w:name="_Toc286993793"/>
      <w:bookmarkStart w:id="802" w:name="_Toc185395255"/>
      <w:bookmarkStart w:id="803" w:name="_Toc282696231"/>
      <w:bookmarkStart w:id="804" w:name="_Toc239233920"/>
      <w:bookmarkStart w:id="805" w:name="_Toc238984981"/>
      <w:bookmarkStart w:id="806" w:name="_Toc232492934"/>
      <w:bookmarkStart w:id="807" w:name="_Toc237145412"/>
      <w:bookmarkStart w:id="808" w:name="_Toc251768868"/>
      <w:bookmarkStart w:id="809" w:name="_Toc283019219"/>
      <w:bookmarkStart w:id="810" w:name="_Toc212019600"/>
      <w:bookmarkStart w:id="811" w:name="_Toc225244858"/>
      <w:bookmarkStart w:id="812" w:name="_Toc225670757"/>
      <w:bookmarkStart w:id="813" w:name="_Toc225654650"/>
      <w:bookmarkStart w:id="814" w:name="_Toc239568424"/>
      <w:bookmarkStart w:id="815" w:name="_Toc211854455"/>
      <w:bookmarkStart w:id="816" w:name="_Toc247334847"/>
      <w:bookmarkStart w:id="817" w:name="_Toc28373"/>
      <w:bookmarkStart w:id="818" w:name="_Toc17718"/>
      <w:bookmarkStart w:id="819" w:name="_Toc11052"/>
      <w:bookmarkStart w:id="820" w:name="_Toc11796"/>
      <w:bookmarkStart w:id="821" w:name="_Toc20931"/>
      <w:r>
        <w:rPr>
          <w:rFonts w:hint="eastAsia" w:hAnsi="宋体" w:cs="宋体"/>
          <w:b/>
          <w:color w:val="auto"/>
          <w:sz w:val="24"/>
          <w:szCs w:val="24"/>
          <w:highlight w:val="none"/>
        </w:rPr>
        <w:t>合同</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Pr>
          <w:rFonts w:hint="eastAsia" w:hAnsi="宋体" w:cs="宋体"/>
          <w:b/>
          <w:color w:val="auto"/>
          <w:sz w:val="24"/>
          <w:szCs w:val="24"/>
          <w:highlight w:val="none"/>
        </w:rPr>
        <w:t>生效及其他</w:t>
      </w:r>
      <w:bookmarkEnd w:id="817"/>
      <w:bookmarkEnd w:id="818"/>
      <w:bookmarkEnd w:id="819"/>
      <w:bookmarkEnd w:id="820"/>
      <w:bookmarkEnd w:id="821"/>
    </w:p>
    <w:p w14:paraId="36CCF7EA">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1、合同经双方法定代表人或授权委托代理人签字并加盖单位公章后生效。</w:t>
      </w:r>
    </w:p>
    <w:p w14:paraId="4C8228B2">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2、合同执行中涉及采购资金和采购内容修改或补充的，须签</w:t>
      </w:r>
      <w:r>
        <w:rPr>
          <w:rFonts w:hint="eastAsia" w:hAnsi="宋体" w:cs="宋体"/>
          <w:color w:val="auto"/>
          <w:sz w:val="24"/>
          <w:szCs w:val="24"/>
          <w:highlight w:val="none"/>
          <w:lang w:val="en-US" w:eastAsia="zh-CN"/>
        </w:rPr>
        <w:t>订</w:t>
      </w:r>
      <w:r>
        <w:rPr>
          <w:rFonts w:hint="eastAsia" w:hAnsi="宋体" w:cs="宋体"/>
          <w:color w:val="auto"/>
          <w:sz w:val="24"/>
          <w:szCs w:val="24"/>
          <w:highlight w:val="none"/>
        </w:rPr>
        <w:t>书面补充协议报政府采购监督管理部门备案，方可作为主合同不可分割的一部分。</w:t>
      </w:r>
    </w:p>
    <w:p w14:paraId="2FD545AA">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3、本合同一式XX份，自双方签章之日起起效。甲方XX份，乙方XX份，代理机构XX份，具有同等法律效力。</w:t>
      </w:r>
    </w:p>
    <w:p w14:paraId="57990BFC">
      <w:pPr>
        <w:numPr>
          <w:ilvl w:val="0"/>
          <w:numId w:val="6"/>
        </w:numPr>
        <w:shd w:val="clear" w:color="auto" w:fill="auto"/>
        <w:spacing w:line="360" w:lineRule="auto"/>
        <w:ind w:left="1519" w:hanging="1094"/>
        <w:outlineLvl w:val="9"/>
        <w:rPr>
          <w:rFonts w:hint="eastAsia" w:hAnsi="宋体" w:cs="宋体"/>
          <w:b/>
          <w:color w:val="auto"/>
          <w:sz w:val="24"/>
          <w:szCs w:val="24"/>
          <w:highlight w:val="none"/>
        </w:rPr>
      </w:pPr>
      <w:bookmarkStart w:id="822" w:name="_Toc689"/>
      <w:bookmarkStart w:id="823" w:name="_Toc3834"/>
      <w:bookmarkStart w:id="824" w:name="_Toc24628"/>
      <w:bookmarkStart w:id="825" w:name="_Toc16018"/>
      <w:bookmarkStart w:id="826" w:name="_Toc11831"/>
      <w:r>
        <w:rPr>
          <w:rFonts w:hint="eastAsia" w:hAnsi="宋体" w:cs="宋体"/>
          <w:b/>
          <w:color w:val="auto"/>
          <w:sz w:val="24"/>
          <w:szCs w:val="24"/>
          <w:highlight w:val="none"/>
        </w:rPr>
        <w:t>附件</w:t>
      </w:r>
      <w:bookmarkEnd w:id="822"/>
      <w:bookmarkEnd w:id="823"/>
      <w:bookmarkEnd w:id="824"/>
      <w:bookmarkEnd w:id="825"/>
      <w:bookmarkEnd w:id="826"/>
    </w:p>
    <w:p w14:paraId="13538C33">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1、项目竞争性磋商文件</w:t>
      </w:r>
    </w:p>
    <w:p w14:paraId="1ECC65CB">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2、项目修改澄清文件</w:t>
      </w:r>
    </w:p>
    <w:p w14:paraId="4975224D">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3、项目响应文件</w:t>
      </w:r>
    </w:p>
    <w:p w14:paraId="7F2FCE1F">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4、成交通知书</w:t>
      </w:r>
    </w:p>
    <w:p w14:paraId="0A45E8E5">
      <w:pPr>
        <w:pStyle w:val="102"/>
        <w:shd w:val="clear" w:color="auto" w:fill="auto"/>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5、其他</w:t>
      </w:r>
    </w:p>
    <w:p w14:paraId="58DA710F">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甲方：   （盖章）   </w:t>
      </w:r>
      <w:r>
        <w:rPr>
          <w:rFonts w:hint="eastAsia" w:hAnsi="宋体" w:cs="宋体"/>
          <w:color w:val="auto"/>
          <w:sz w:val="24"/>
          <w:szCs w:val="24"/>
          <w:highlight w:val="none"/>
        </w:rPr>
        <w:tab/>
      </w:r>
      <w:r>
        <w:rPr>
          <w:rFonts w:hint="eastAsia" w:hAnsi="宋体" w:cs="宋体"/>
          <w:color w:val="auto"/>
          <w:sz w:val="24"/>
          <w:szCs w:val="24"/>
          <w:highlight w:val="none"/>
        </w:rPr>
        <w:tab/>
      </w:r>
      <w:r>
        <w:rPr>
          <w:rFonts w:hint="eastAsia" w:hAnsi="宋体" w:cs="宋体"/>
          <w:color w:val="auto"/>
          <w:sz w:val="24"/>
          <w:szCs w:val="24"/>
          <w:highlight w:val="none"/>
        </w:rPr>
        <w:tab/>
      </w:r>
      <w:r>
        <w:rPr>
          <w:rFonts w:hint="eastAsia" w:hAnsi="宋体" w:cs="宋体"/>
          <w:color w:val="auto"/>
          <w:sz w:val="24"/>
          <w:szCs w:val="24"/>
          <w:highlight w:val="none"/>
        </w:rPr>
        <w:t xml:space="preserve">         乙方：   （盖章）</w:t>
      </w:r>
    </w:p>
    <w:p w14:paraId="2A1C7010">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法定代表人（授权代表）：            法定代表人（授权代表）：</w:t>
      </w:r>
    </w:p>
    <w:p w14:paraId="1F473247">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                          地    址：</w:t>
      </w:r>
    </w:p>
    <w:p w14:paraId="42265FFB">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开户银行：                          开户银行：</w:t>
      </w:r>
    </w:p>
    <w:p w14:paraId="1B78BC0B">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账号：                              账号：</w:t>
      </w:r>
    </w:p>
    <w:p w14:paraId="25072DAD">
      <w:pPr>
        <w:shd w:val="clear" w:color="auto" w:fill="auto"/>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电    话：                          电    话：</w:t>
      </w:r>
    </w:p>
    <w:p w14:paraId="6AC6B533">
      <w:pPr>
        <w:shd w:val="clear" w:color="auto" w:fill="auto"/>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传    真：                          传    真：</w:t>
      </w:r>
    </w:p>
    <w:p w14:paraId="120C579E">
      <w:pPr>
        <w:shd w:val="clear" w:color="auto" w:fill="auto"/>
        <w:spacing w:line="400" w:lineRule="exact"/>
        <w:ind w:firstLine="480" w:firstLineChars="200"/>
        <w:rPr>
          <w:rFonts w:hint="eastAsia" w:hAnsi="宋体" w:cs="宋体"/>
          <w:color w:val="auto"/>
          <w:highlight w:val="none"/>
        </w:rPr>
      </w:pPr>
      <w:r>
        <w:rPr>
          <w:rFonts w:hint="eastAsia" w:hAnsi="宋体" w:cs="宋体"/>
          <w:color w:val="auto"/>
          <w:sz w:val="24"/>
          <w:highlight w:val="none"/>
        </w:rPr>
        <w:t xml:space="preserve">签约日期：XX年XX月XX日 </w:t>
      </w:r>
      <w:r>
        <w:rPr>
          <w:rFonts w:hint="eastAsia" w:hAnsi="宋体" w:cs="宋体"/>
          <w:color w:val="auto"/>
          <w:sz w:val="24"/>
          <w:highlight w:val="none"/>
        </w:rPr>
        <w:tab/>
      </w:r>
      <w:r>
        <w:rPr>
          <w:rFonts w:hint="eastAsia" w:hAnsi="宋体" w:cs="宋体"/>
          <w:color w:val="auto"/>
          <w:sz w:val="24"/>
          <w:highlight w:val="none"/>
        </w:rPr>
        <w:t xml:space="preserve">        签约日期：XX年XX月XX日</w:t>
      </w:r>
    </w:p>
    <w:p w14:paraId="695D2801">
      <w:pPr>
        <w:pStyle w:val="20"/>
        <w:shd w:val="clear" w:color="auto" w:fill="auto"/>
        <w:rPr>
          <w:rFonts w:hint="eastAsia" w:hAnsi="宋体" w:cs="宋体"/>
          <w:color w:val="auto"/>
          <w:sz w:val="24"/>
          <w:highlight w:val="none"/>
        </w:rPr>
      </w:pPr>
    </w:p>
    <w:sectPr>
      <w:pgSz w:w="11905" w:h="16838"/>
      <w:pgMar w:top="1440" w:right="1474" w:bottom="1440" w:left="1474" w:header="850" w:footer="992" w:gutter="0"/>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AOCCG + SimSun">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DCC2">
    <w:pPr>
      <w:pStyle w:val="18"/>
      <w:jc w:val="center"/>
      <w:rPr>
        <w:rFonts w:ascii="宋体" w:hAnsi="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25400">
                        <a:noFill/>
                      </a:ln>
                    </wps:spPr>
                    <wps:txbx>
                      <w:txbxContent>
                        <w:p w14:paraId="07AD301B">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RH5i9cAAAAEAQAADwAAAAAA&#10;AAABACAAAAAiAAAAZHJzL2Rvd25yZXYueG1sUEsBAhQAFAAAAAgAh07iQBnuf1XbAQAApAMAAA4A&#10;AAAAAAAAAQAgAAAAJgEAAGRycy9lMm9Eb2MueG1sUEsFBgAAAAAGAAYAWQEAAHMFAAAAAA==&#10;">
              <v:fill on="f" focussize="0,0"/>
              <v:stroke on="f" weight="2pt"/>
              <v:imagedata o:title=""/>
              <o:lock v:ext="edit" aspectratio="f"/>
              <v:textbox inset="0mm,0mm,0mm,0mm" style="mso-fit-shape-to-text:t;">
                <w:txbxContent>
                  <w:p w14:paraId="07AD301B">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D247">
    <w:pPr>
      <w:pStyle w:val="18"/>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25400">
                        <a:noFill/>
                      </a:ln>
                    </wps:spPr>
                    <wps:txbx>
                      <w:txbxContent>
                        <w:p w14:paraId="0766BFEC">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EfmL1wAAAAQBAAAPAAAAAAAA&#10;AAEAIAAAACIAAABkcnMvZG93bnJldi54bWxQSwECFAAUAAAACACHTuJA3GMaNtoBAACkAwAADgAA&#10;AAAAAAABACAAAAAmAQAAZHJzL2Uyb0RvYy54bWxQSwUGAAAAAAYABgBZAQAAcgUAAAAA&#10;">
              <v:fill on="f" focussize="0,0"/>
              <v:stroke on="f" weight="2pt"/>
              <v:imagedata o:title=""/>
              <o:lock v:ext="edit" aspectratio="f"/>
              <v:textbox inset="0mm,0mm,0mm,0mm" style="mso-fit-shape-to-text:t;">
                <w:txbxContent>
                  <w:p w14:paraId="0766BFEC">
                    <w:pPr>
                      <w:pStyle w:val="1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57</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33F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7B6A2">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072F7"/>
    <w:multiLevelType w:val="singleLevel"/>
    <w:tmpl w:val="D38072F7"/>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13"/>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8B45D9C"/>
    <w:multiLevelType w:val="singleLevel"/>
    <w:tmpl w:val="18B45D9C"/>
    <w:lvl w:ilvl="0" w:tentative="0">
      <w:start w:val="2"/>
      <w:numFmt w:val="chineseCounting"/>
      <w:suff w:val="nothing"/>
      <w:lvlText w:val="%1、"/>
      <w:lvlJc w:val="left"/>
      <w:rPr>
        <w:rFonts w:hint="eastAsia"/>
      </w:rPr>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1CCAD0"/>
    <w:multiLevelType w:val="singleLevel"/>
    <w:tmpl w:val="261CCAD0"/>
    <w:lvl w:ilvl="0" w:tentative="0">
      <w:start w:val="5"/>
      <w:numFmt w:val="chineseCounting"/>
      <w:suff w:val="space"/>
      <w:lvlText w:val="第%1章"/>
      <w:lvlJc w:val="left"/>
      <w:rPr>
        <w:rFonts w:hint="eastAsia"/>
      </w:rPr>
    </w:lvl>
  </w:abstractNum>
  <w:abstractNum w:abstractNumId="5">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6">
    <w:nsid w:val="66703592"/>
    <w:multiLevelType w:val="multilevel"/>
    <w:tmpl w:val="66703592"/>
    <w:lvl w:ilvl="0" w:tentative="0">
      <w:start w:val="1"/>
      <w:numFmt w:val="chineseCountingThousand"/>
      <w:pStyle w:val="70"/>
      <w:suff w:val="nothing"/>
      <w:lvlText w:val="%1、"/>
      <w:lvlJc w:val="left"/>
      <w:pPr>
        <w:ind w:left="425" w:hanging="425"/>
      </w:pPr>
      <w:rPr>
        <w:rFonts w:hint="eastAsia"/>
      </w:rPr>
    </w:lvl>
    <w:lvl w:ilvl="1" w:tentative="0">
      <w:start w:val="1"/>
      <w:numFmt w:val="chineseCountingThousand"/>
      <w:pStyle w:val="98"/>
      <w:suff w:val="nothing"/>
      <w:lvlText w:val="（%2）"/>
      <w:lvlJc w:val="left"/>
      <w:pPr>
        <w:ind w:left="510" w:hanging="510"/>
      </w:pPr>
      <w:rPr>
        <w:rFonts w:hint="eastAsia"/>
      </w:rPr>
    </w:lvl>
    <w:lvl w:ilvl="2" w:tentative="0">
      <w:start w:val="1"/>
      <w:numFmt w:val="decimal"/>
      <w:suff w:val="nothing"/>
      <w:lvlText w:val="%3、"/>
      <w:lvlJc w:val="left"/>
      <w:pPr>
        <w:ind w:left="680" w:hanging="283"/>
      </w:pPr>
      <w:rPr>
        <w:rFonts w:hint="eastAsia"/>
      </w:rPr>
    </w:lvl>
    <w:lvl w:ilvl="3" w:tentative="0">
      <w:start w:val="1"/>
      <w:numFmt w:val="decimal"/>
      <w:suff w:val="nothing"/>
      <w:lvlText w:val="（%4）"/>
      <w:lvlJc w:val="left"/>
      <w:pPr>
        <w:ind w:left="964" w:hanging="62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N2MwODQzOWFhNjZiZDcyNmNmZmQ0Yzk2ZGM0NDcifQ=="/>
    <w:docVar w:name="KSO_WPS_MARK_KEY" w:val="499c058b-f713-472c-b70e-e1a82df502c4"/>
  </w:docVars>
  <w:rsids>
    <w:rsidRoot w:val="00172A27"/>
    <w:rsid w:val="00021797"/>
    <w:rsid w:val="0002775B"/>
    <w:rsid w:val="00032798"/>
    <w:rsid w:val="000405FA"/>
    <w:rsid w:val="0004577E"/>
    <w:rsid w:val="000E7E60"/>
    <w:rsid w:val="000F2BDD"/>
    <w:rsid w:val="00141D8E"/>
    <w:rsid w:val="001562F9"/>
    <w:rsid w:val="001B541A"/>
    <w:rsid w:val="001E79EB"/>
    <w:rsid w:val="002765F7"/>
    <w:rsid w:val="002A0595"/>
    <w:rsid w:val="003948BB"/>
    <w:rsid w:val="003A25D4"/>
    <w:rsid w:val="003B1406"/>
    <w:rsid w:val="003D0716"/>
    <w:rsid w:val="003D4B84"/>
    <w:rsid w:val="004C673F"/>
    <w:rsid w:val="004D3F62"/>
    <w:rsid w:val="0051267E"/>
    <w:rsid w:val="005175BF"/>
    <w:rsid w:val="0055299F"/>
    <w:rsid w:val="00584108"/>
    <w:rsid w:val="005A195E"/>
    <w:rsid w:val="005A2F6A"/>
    <w:rsid w:val="005D5B28"/>
    <w:rsid w:val="00623748"/>
    <w:rsid w:val="006659CE"/>
    <w:rsid w:val="006A7EEA"/>
    <w:rsid w:val="007034B2"/>
    <w:rsid w:val="0071562B"/>
    <w:rsid w:val="007568CD"/>
    <w:rsid w:val="00790A3F"/>
    <w:rsid w:val="007C28F3"/>
    <w:rsid w:val="00832EC9"/>
    <w:rsid w:val="00852626"/>
    <w:rsid w:val="008B49EF"/>
    <w:rsid w:val="008D7043"/>
    <w:rsid w:val="008F1C8C"/>
    <w:rsid w:val="009020F5"/>
    <w:rsid w:val="0091638F"/>
    <w:rsid w:val="009C45AD"/>
    <w:rsid w:val="00AA6F31"/>
    <w:rsid w:val="00B12E92"/>
    <w:rsid w:val="00B13A6E"/>
    <w:rsid w:val="00B20BAA"/>
    <w:rsid w:val="00B47992"/>
    <w:rsid w:val="00B564D2"/>
    <w:rsid w:val="00BB6F9A"/>
    <w:rsid w:val="00C61327"/>
    <w:rsid w:val="00C7558C"/>
    <w:rsid w:val="00CA41F3"/>
    <w:rsid w:val="00CC3216"/>
    <w:rsid w:val="00D30A12"/>
    <w:rsid w:val="00D907EF"/>
    <w:rsid w:val="00DB19D5"/>
    <w:rsid w:val="00E0098D"/>
    <w:rsid w:val="00E35D48"/>
    <w:rsid w:val="00E3629D"/>
    <w:rsid w:val="00E701A4"/>
    <w:rsid w:val="00E82EEC"/>
    <w:rsid w:val="00EB74FF"/>
    <w:rsid w:val="00F042AB"/>
    <w:rsid w:val="01050104"/>
    <w:rsid w:val="012513B1"/>
    <w:rsid w:val="01437F91"/>
    <w:rsid w:val="018036B2"/>
    <w:rsid w:val="01D00DB1"/>
    <w:rsid w:val="0204567E"/>
    <w:rsid w:val="029E162E"/>
    <w:rsid w:val="02B41DD9"/>
    <w:rsid w:val="03451EBE"/>
    <w:rsid w:val="03585D1F"/>
    <w:rsid w:val="03624E42"/>
    <w:rsid w:val="03A2614D"/>
    <w:rsid w:val="03B36BB9"/>
    <w:rsid w:val="03E5328D"/>
    <w:rsid w:val="0408066D"/>
    <w:rsid w:val="046317F9"/>
    <w:rsid w:val="047E18F2"/>
    <w:rsid w:val="056B314E"/>
    <w:rsid w:val="05BE6F81"/>
    <w:rsid w:val="0607422C"/>
    <w:rsid w:val="06162CF0"/>
    <w:rsid w:val="06A63D5D"/>
    <w:rsid w:val="06B26CF5"/>
    <w:rsid w:val="06CF3C03"/>
    <w:rsid w:val="06D23D35"/>
    <w:rsid w:val="070460BD"/>
    <w:rsid w:val="070B0481"/>
    <w:rsid w:val="078B1806"/>
    <w:rsid w:val="07D840EB"/>
    <w:rsid w:val="07D87C6E"/>
    <w:rsid w:val="081F6CB7"/>
    <w:rsid w:val="083D3086"/>
    <w:rsid w:val="0859598F"/>
    <w:rsid w:val="085B11D0"/>
    <w:rsid w:val="0871112C"/>
    <w:rsid w:val="087659C4"/>
    <w:rsid w:val="08787E1A"/>
    <w:rsid w:val="08DA4DEF"/>
    <w:rsid w:val="08DF64FD"/>
    <w:rsid w:val="091D6175"/>
    <w:rsid w:val="09537148"/>
    <w:rsid w:val="095C4DAB"/>
    <w:rsid w:val="098F4E55"/>
    <w:rsid w:val="09CB220B"/>
    <w:rsid w:val="09CE595E"/>
    <w:rsid w:val="09DA2EEF"/>
    <w:rsid w:val="09DB2A44"/>
    <w:rsid w:val="09E22C76"/>
    <w:rsid w:val="0A0E2267"/>
    <w:rsid w:val="0A2B495D"/>
    <w:rsid w:val="0A7760CC"/>
    <w:rsid w:val="0AB737F3"/>
    <w:rsid w:val="0ACF593D"/>
    <w:rsid w:val="0B00051A"/>
    <w:rsid w:val="0B274455"/>
    <w:rsid w:val="0BBA668E"/>
    <w:rsid w:val="0C000705"/>
    <w:rsid w:val="0C6E73F0"/>
    <w:rsid w:val="0C97700D"/>
    <w:rsid w:val="0CAD3470"/>
    <w:rsid w:val="0CAF204C"/>
    <w:rsid w:val="0CBD4B84"/>
    <w:rsid w:val="0CCE208D"/>
    <w:rsid w:val="0CFC11A2"/>
    <w:rsid w:val="0E183C5A"/>
    <w:rsid w:val="0E9740C1"/>
    <w:rsid w:val="0EDE65C4"/>
    <w:rsid w:val="0F160C6A"/>
    <w:rsid w:val="0F4208F1"/>
    <w:rsid w:val="0F5265D8"/>
    <w:rsid w:val="0F55539C"/>
    <w:rsid w:val="0F985405"/>
    <w:rsid w:val="0FEE64E9"/>
    <w:rsid w:val="100049D1"/>
    <w:rsid w:val="103653D4"/>
    <w:rsid w:val="10E25668"/>
    <w:rsid w:val="112F1AC1"/>
    <w:rsid w:val="117D5939"/>
    <w:rsid w:val="11932661"/>
    <w:rsid w:val="11B12A00"/>
    <w:rsid w:val="11D010D8"/>
    <w:rsid w:val="12614426"/>
    <w:rsid w:val="12665CB3"/>
    <w:rsid w:val="12984D03"/>
    <w:rsid w:val="129C4987"/>
    <w:rsid w:val="12AC2DEB"/>
    <w:rsid w:val="12BF04EF"/>
    <w:rsid w:val="12CC27F9"/>
    <w:rsid w:val="12D96EC1"/>
    <w:rsid w:val="12DF679F"/>
    <w:rsid w:val="132A00C9"/>
    <w:rsid w:val="133E2B35"/>
    <w:rsid w:val="137271D2"/>
    <w:rsid w:val="13FF34ED"/>
    <w:rsid w:val="14925CB2"/>
    <w:rsid w:val="14A356A6"/>
    <w:rsid w:val="14AE14D1"/>
    <w:rsid w:val="1555063D"/>
    <w:rsid w:val="15651618"/>
    <w:rsid w:val="156A1DDA"/>
    <w:rsid w:val="159811B7"/>
    <w:rsid w:val="160B5AB4"/>
    <w:rsid w:val="164F3354"/>
    <w:rsid w:val="169A7868"/>
    <w:rsid w:val="169D3553"/>
    <w:rsid w:val="16D61634"/>
    <w:rsid w:val="17143BFB"/>
    <w:rsid w:val="179F0985"/>
    <w:rsid w:val="17BD20FF"/>
    <w:rsid w:val="17E63497"/>
    <w:rsid w:val="18001FEB"/>
    <w:rsid w:val="18911C7B"/>
    <w:rsid w:val="18EE62E8"/>
    <w:rsid w:val="197C55C8"/>
    <w:rsid w:val="1A1A2FE2"/>
    <w:rsid w:val="1A6B5A44"/>
    <w:rsid w:val="1A760F48"/>
    <w:rsid w:val="1AC62E25"/>
    <w:rsid w:val="1ACE46DB"/>
    <w:rsid w:val="1AE476D6"/>
    <w:rsid w:val="1B136143"/>
    <w:rsid w:val="1B2D16BF"/>
    <w:rsid w:val="1B61029E"/>
    <w:rsid w:val="1B6E6F68"/>
    <w:rsid w:val="1BAD5FE6"/>
    <w:rsid w:val="1C0D0F07"/>
    <w:rsid w:val="1C26642A"/>
    <w:rsid w:val="1C4F4363"/>
    <w:rsid w:val="1CCE4466"/>
    <w:rsid w:val="1CE4126B"/>
    <w:rsid w:val="1D1C1676"/>
    <w:rsid w:val="1D222E5C"/>
    <w:rsid w:val="1D282061"/>
    <w:rsid w:val="1D8F3826"/>
    <w:rsid w:val="1DD7100A"/>
    <w:rsid w:val="1DDC4CAA"/>
    <w:rsid w:val="1DDE157B"/>
    <w:rsid w:val="1E2837E7"/>
    <w:rsid w:val="1E8557DA"/>
    <w:rsid w:val="1EB458DE"/>
    <w:rsid w:val="1EC93A60"/>
    <w:rsid w:val="1F074721"/>
    <w:rsid w:val="1F08239E"/>
    <w:rsid w:val="1F512AEE"/>
    <w:rsid w:val="1F5FF54F"/>
    <w:rsid w:val="1FA04036"/>
    <w:rsid w:val="20155BBC"/>
    <w:rsid w:val="203C5B8B"/>
    <w:rsid w:val="20784D7E"/>
    <w:rsid w:val="209A0A88"/>
    <w:rsid w:val="20E22BD6"/>
    <w:rsid w:val="20EB6D3F"/>
    <w:rsid w:val="216B4CBF"/>
    <w:rsid w:val="2194304B"/>
    <w:rsid w:val="21991D0F"/>
    <w:rsid w:val="21A66DF7"/>
    <w:rsid w:val="21A67982"/>
    <w:rsid w:val="21C2403F"/>
    <w:rsid w:val="21E200F4"/>
    <w:rsid w:val="224145FC"/>
    <w:rsid w:val="22684E76"/>
    <w:rsid w:val="229C0FAE"/>
    <w:rsid w:val="229E40FD"/>
    <w:rsid w:val="22E24EB5"/>
    <w:rsid w:val="22E72A57"/>
    <w:rsid w:val="23030D3E"/>
    <w:rsid w:val="23455412"/>
    <w:rsid w:val="2398577E"/>
    <w:rsid w:val="23D76CF5"/>
    <w:rsid w:val="23FF4C80"/>
    <w:rsid w:val="24120687"/>
    <w:rsid w:val="243340C8"/>
    <w:rsid w:val="24341D75"/>
    <w:rsid w:val="244C2DE9"/>
    <w:rsid w:val="245623CD"/>
    <w:rsid w:val="24996F9B"/>
    <w:rsid w:val="256C03A6"/>
    <w:rsid w:val="25897AC4"/>
    <w:rsid w:val="258F31B6"/>
    <w:rsid w:val="25A648F9"/>
    <w:rsid w:val="25CB2D4A"/>
    <w:rsid w:val="25D7527F"/>
    <w:rsid w:val="26247DE1"/>
    <w:rsid w:val="26F56587"/>
    <w:rsid w:val="271E006A"/>
    <w:rsid w:val="273A3BA4"/>
    <w:rsid w:val="2777717F"/>
    <w:rsid w:val="27940D5F"/>
    <w:rsid w:val="27AA009F"/>
    <w:rsid w:val="27B72CFE"/>
    <w:rsid w:val="282B5451"/>
    <w:rsid w:val="285D042C"/>
    <w:rsid w:val="28AB1AD8"/>
    <w:rsid w:val="29274CC8"/>
    <w:rsid w:val="29775CC8"/>
    <w:rsid w:val="2A1502FE"/>
    <w:rsid w:val="2A3A5BC2"/>
    <w:rsid w:val="2A4E1747"/>
    <w:rsid w:val="2A7144AB"/>
    <w:rsid w:val="2A9252F8"/>
    <w:rsid w:val="2B512E32"/>
    <w:rsid w:val="2BA604BD"/>
    <w:rsid w:val="2C3818FC"/>
    <w:rsid w:val="2C484235"/>
    <w:rsid w:val="2C7A150A"/>
    <w:rsid w:val="2C864D5D"/>
    <w:rsid w:val="2C881180"/>
    <w:rsid w:val="2CB916B4"/>
    <w:rsid w:val="2CCE0C2F"/>
    <w:rsid w:val="2CE068F2"/>
    <w:rsid w:val="2D4A1DA1"/>
    <w:rsid w:val="2D787C52"/>
    <w:rsid w:val="2E38296C"/>
    <w:rsid w:val="2E887123"/>
    <w:rsid w:val="2F336EE9"/>
    <w:rsid w:val="2FA371F6"/>
    <w:rsid w:val="2FE97B2D"/>
    <w:rsid w:val="302208F9"/>
    <w:rsid w:val="30687730"/>
    <w:rsid w:val="30CF1983"/>
    <w:rsid w:val="31102E48"/>
    <w:rsid w:val="318C1EC2"/>
    <w:rsid w:val="31B22151"/>
    <w:rsid w:val="31FF4819"/>
    <w:rsid w:val="322F37A1"/>
    <w:rsid w:val="323F6679"/>
    <w:rsid w:val="32416ACE"/>
    <w:rsid w:val="32CC605B"/>
    <w:rsid w:val="32D10E9D"/>
    <w:rsid w:val="33295161"/>
    <w:rsid w:val="333A65F5"/>
    <w:rsid w:val="33AD5E1F"/>
    <w:rsid w:val="33DF4F3D"/>
    <w:rsid w:val="33E024E6"/>
    <w:rsid w:val="33E11ACF"/>
    <w:rsid w:val="33F75CEF"/>
    <w:rsid w:val="343C53D7"/>
    <w:rsid w:val="34607BAA"/>
    <w:rsid w:val="34DD366A"/>
    <w:rsid w:val="34EC2B84"/>
    <w:rsid w:val="34EF6AC7"/>
    <w:rsid w:val="34F52A80"/>
    <w:rsid w:val="35133C86"/>
    <w:rsid w:val="352275ED"/>
    <w:rsid w:val="35663199"/>
    <w:rsid w:val="357F059C"/>
    <w:rsid w:val="35946CDB"/>
    <w:rsid w:val="362C50F3"/>
    <w:rsid w:val="36772E23"/>
    <w:rsid w:val="36E267D4"/>
    <w:rsid w:val="37296F21"/>
    <w:rsid w:val="37527E47"/>
    <w:rsid w:val="375A38F1"/>
    <w:rsid w:val="379822BA"/>
    <w:rsid w:val="37A83426"/>
    <w:rsid w:val="37CB2F5F"/>
    <w:rsid w:val="37F121F0"/>
    <w:rsid w:val="37F40446"/>
    <w:rsid w:val="38490CA8"/>
    <w:rsid w:val="38AD20B0"/>
    <w:rsid w:val="39061B80"/>
    <w:rsid w:val="39470BD3"/>
    <w:rsid w:val="396C1275"/>
    <w:rsid w:val="39944698"/>
    <w:rsid w:val="399A2D32"/>
    <w:rsid w:val="3A013251"/>
    <w:rsid w:val="3A1774D3"/>
    <w:rsid w:val="3A494E06"/>
    <w:rsid w:val="3A932D07"/>
    <w:rsid w:val="3AA6355C"/>
    <w:rsid w:val="3AD10620"/>
    <w:rsid w:val="3ADA087A"/>
    <w:rsid w:val="3AF8547E"/>
    <w:rsid w:val="3B1705E5"/>
    <w:rsid w:val="3B973F88"/>
    <w:rsid w:val="3BDA021A"/>
    <w:rsid w:val="3C2B36B6"/>
    <w:rsid w:val="3C3B3ED6"/>
    <w:rsid w:val="3C544530"/>
    <w:rsid w:val="3C8A7F52"/>
    <w:rsid w:val="3CBD3746"/>
    <w:rsid w:val="3CCF005B"/>
    <w:rsid w:val="3CEA12BE"/>
    <w:rsid w:val="3D015D3A"/>
    <w:rsid w:val="3DAE337B"/>
    <w:rsid w:val="3DEB4A20"/>
    <w:rsid w:val="3DF40BBB"/>
    <w:rsid w:val="3E013343"/>
    <w:rsid w:val="3E734A16"/>
    <w:rsid w:val="3E9F6CC2"/>
    <w:rsid w:val="3EBA69AE"/>
    <w:rsid w:val="3ECC6DCE"/>
    <w:rsid w:val="3F0A255C"/>
    <w:rsid w:val="3F59425E"/>
    <w:rsid w:val="3F5B4B90"/>
    <w:rsid w:val="3F906795"/>
    <w:rsid w:val="3FCB7349"/>
    <w:rsid w:val="3FE756BB"/>
    <w:rsid w:val="3FF11174"/>
    <w:rsid w:val="3FF878C8"/>
    <w:rsid w:val="4056733D"/>
    <w:rsid w:val="40803BB4"/>
    <w:rsid w:val="40B05B9F"/>
    <w:rsid w:val="410127D3"/>
    <w:rsid w:val="415C79E3"/>
    <w:rsid w:val="416813A0"/>
    <w:rsid w:val="417E05BA"/>
    <w:rsid w:val="4192080B"/>
    <w:rsid w:val="419903BC"/>
    <w:rsid w:val="41F259E6"/>
    <w:rsid w:val="41F56D3E"/>
    <w:rsid w:val="421A3B26"/>
    <w:rsid w:val="425A47D5"/>
    <w:rsid w:val="428438C5"/>
    <w:rsid w:val="428B67D2"/>
    <w:rsid w:val="42A13D08"/>
    <w:rsid w:val="42B63B7C"/>
    <w:rsid w:val="42E21B87"/>
    <w:rsid w:val="430F1216"/>
    <w:rsid w:val="430F419E"/>
    <w:rsid w:val="43561376"/>
    <w:rsid w:val="43E31089"/>
    <w:rsid w:val="442659D2"/>
    <w:rsid w:val="445F6FA2"/>
    <w:rsid w:val="44B833E0"/>
    <w:rsid w:val="44FB04EC"/>
    <w:rsid w:val="45296132"/>
    <w:rsid w:val="458A6F70"/>
    <w:rsid w:val="45A82B2C"/>
    <w:rsid w:val="45C2075D"/>
    <w:rsid w:val="45C96BE3"/>
    <w:rsid w:val="45D90764"/>
    <w:rsid w:val="46032817"/>
    <w:rsid w:val="46493CD9"/>
    <w:rsid w:val="46577F47"/>
    <w:rsid w:val="4670290D"/>
    <w:rsid w:val="46FB2513"/>
    <w:rsid w:val="47727437"/>
    <w:rsid w:val="47EF50A7"/>
    <w:rsid w:val="47FE5C6D"/>
    <w:rsid w:val="48111B48"/>
    <w:rsid w:val="4826789D"/>
    <w:rsid w:val="48537D92"/>
    <w:rsid w:val="485D29BF"/>
    <w:rsid w:val="48813384"/>
    <w:rsid w:val="48931F36"/>
    <w:rsid w:val="48A7336B"/>
    <w:rsid w:val="48A77E43"/>
    <w:rsid w:val="48CC6447"/>
    <w:rsid w:val="48EA365A"/>
    <w:rsid w:val="48F04B0B"/>
    <w:rsid w:val="49051241"/>
    <w:rsid w:val="491E3F13"/>
    <w:rsid w:val="49856FE1"/>
    <w:rsid w:val="49C701AF"/>
    <w:rsid w:val="49FB6E93"/>
    <w:rsid w:val="4A0E363F"/>
    <w:rsid w:val="4A324D62"/>
    <w:rsid w:val="4A3D4825"/>
    <w:rsid w:val="4ABE3BD7"/>
    <w:rsid w:val="4AE56F3F"/>
    <w:rsid w:val="4B11289C"/>
    <w:rsid w:val="4B152536"/>
    <w:rsid w:val="4B70179C"/>
    <w:rsid w:val="4BB52D12"/>
    <w:rsid w:val="4BB70638"/>
    <w:rsid w:val="4BCA25A7"/>
    <w:rsid w:val="4BF1196F"/>
    <w:rsid w:val="4C092FFA"/>
    <w:rsid w:val="4C0A7A41"/>
    <w:rsid w:val="4C1B37D0"/>
    <w:rsid w:val="4C8A0C32"/>
    <w:rsid w:val="4C940D29"/>
    <w:rsid w:val="4CC90623"/>
    <w:rsid w:val="4CD07C03"/>
    <w:rsid w:val="4D03161C"/>
    <w:rsid w:val="4D20341E"/>
    <w:rsid w:val="4D241D93"/>
    <w:rsid w:val="4D2B7FF0"/>
    <w:rsid w:val="4D8E6D67"/>
    <w:rsid w:val="4DBC2DEE"/>
    <w:rsid w:val="4E5F61F9"/>
    <w:rsid w:val="4E9F0C4E"/>
    <w:rsid w:val="4ECE07DB"/>
    <w:rsid w:val="4F307FA5"/>
    <w:rsid w:val="4F457CD3"/>
    <w:rsid w:val="4F6E5220"/>
    <w:rsid w:val="501A1195"/>
    <w:rsid w:val="50597DDB"/>
    <w:rsid w:val="507E4125"/>
    <w:rsid w:val="50953672"/>
    <w:rsid w:val="50B0436C"/>
    <w:rsid w:val="50C35824"/>
    <w:rsid w:val="511F35C8"/>
    <w:rsid w:val="517B0EFE"/>
    <w:rsid w:val="51B00003"/>
    <w:rsid w:val="51B470EE"/>
    <w:rsid w:val="51B6317E"/>
    <w:rsid w:val="527A6319"/>
    <w:rsid w:val="531479F2"/>
    <w:rsid w:val="532061BB"/>
    <w:rsid w:val="533E770E"/>
    <w:rsid w:val="53486363"/>
    <w:rsid w:val="538E21D8"/>
    <w:rsid w:val="538F47E2"/>
    <w:rsid w:val="53AE4645"/>
    <w:rsid w:val="53BC2C8F"/>
    <w:rsid w:val="53D855EF"/>
    <w:rsid w:val="54164A93"/>
    <w:rsid w:val="548F5583"/>
    <w:rsid w:val="54A0043B"/>
    <w:rsid w:val="54CE1D97"/>
    <w:rsid w:val="5510316F"/>
    <w:rsid w:val="55382F95"/>
    <w:rsid w:val="55762360"/>
    <w:rsid w:val="558C42EC"/>
    <w:rsid w:val="5596287A"/>
    <w:rsid w:val="559F4616"/>
    <w:rsid w:val="56114DE8"/>
    <w:rsid w:val="561A150B"/>
    <w:rsid w:val="566301ED"/>
    <w:rsid w:val="56A16688"/>
    <w:rsid w:val="56A83A45"/>
    <w:rsid w:val="56C80BD4"/>
    <w:rsid w:val="5712309C"/>
    <w:rsid w:val="571C150F"/>
    <w:rsid w:val="571E4551"/>
    <w:rsid w:val="575402F7"/>
    <w:rsid w:val="57600E91"/>
    <w:rsid w:val="57675818"/>
    <w:rsid w:val="57765BEE"/>
    <w:rsid w:val="578D0DF8"/>
    <w:rsid w:val="579A2E45"/>
    <w:rsid w:val="58147FE4"/>
    <w:rsid w:val="58C43FFE"/>
    <w:rsid w:val="591061CD"/>
    <w:rsid w:val="59627EB7"/>
    <w:rsid w:val="59D37E51"/>
    <w:rsid w:val="5A184997"/>
    <w:rsid w:val="5A236CF1"/>
    <w:rsid w:val="5A4C5D02"/>
    <w:rsid w:val="5ACA6D6E"/>
    <w:rsid w:val="5ACD563D"/>
    <w:rsid w:val="5B3867FA"/>
    <w:rsid w:val="5B5900A8"/>
    <w:rsid w:val="5B5B7511"/>
    <w:rsid w:val="5B6D07EB"/>
    <w:rsid w:val="5B957823"/>
    <w:rsid w:val="5BEFD039"/>
    <w:rsid w:val="5C01571B"/>
    <w:rsid w:val="5C5B3C1C"/>
    <w:rsid w:val="5CB00EB7"/>
    <w:rsid w:val="5CC2216C"/>
    <w:rsid w:val="5D4F727C"/>
    <w:rsid w:val="5D8C3C12"/>
    <w:rsid w:val="5DE05F7A"/>
    <w:rsid w:val="5E0D0F13"/>
    <w:rsid w:val="5E5708D7"/>
    <w:rsid w:val="5F052ED5"/>
    <w:rsid w:val="5F4613E7"/>
    <w:rsid w:val="5F553F98"/>
    <w:rsid w:val="5F565C32"/>
    <w:rsid w:val="5F7B6547"/>
    <w:rsid w:val="5F881C77"/>
    <w:rsid w:val="5FD4017C"/>
    <w:rsid w:val="5FD5744F"/>
    <w:rsid w:val="5FFFECF7"/>
    <w:rsid w:val="60086E3C"/>
    <w:rsid w:val="60205478"/>
    <w:rsid w:val="60264FCB"/>
    <w:rsid w:val="604A0533"/>
    <w:rsid w:val="6124275C"/>
    <w:rsid w:val="613E4699"/>
    <w:rsid w:val="615D00BC"/>
    <w:rsid w:val="6178179D"/>
    <w:rsid w:val="61784663"/>
    <w:rsid w:val="61AB4343"/>
    <w:rsid w:val="61AD24DB"/>
    <w:rsid w:val="61D04C17"/>
    <w:rsid w:val="61EF0E97"/>
    <w:rsid w:val="629B3E6B"/>
    <w:rsid w:val="62A729A9"/>
    <w:rsid w:val="62B01A0B"/>
    <w:rsid w:val="62B16A4E"/>
    <w:rsid w:val="62D653F0"/>
    <w:rsid w:val="62E53885"/>
    <w:rsid w:val="63961F62"/>
    <w:rsid w:val="63CA30D5"/>
    <w:rsid w:val="63FF2F33"/>
    <w:rsid w:val="640151F9"/>
    <w:rsid w:val="64A076EC"/>
    <w:rsid w:val="64B13D6E"/>
    <w:rsid w:val="64F86C32"/>
    <w:rsid w:val="65981AF5"/>
    <w:rsid w:val="65C02553"/>
    <w:rsid w:val="65D52564"/>
    <w:rsid w:val="65E0025D"/>
    <w:rsid w:val="67604309"/>
    <w:rsid w:val="67651B6D"/>
    <w:rsid w:val="67F31049"/>
    <w:rsid w:val="68BA7B13"/>
    <w:rsid w:val="68E629B3"/>
    <w:rsid w:val="68F536A3"/>
    <w:rsid w:val="6915033B"/>
    <w:rsid w:val="692E3F3D"/>
    <w:rsid w:val="69397208"/>
    <w:rsid w:val="69C42F7A"/>
    <w:rsid w:val="69DD324F"/>
    <w:rsid w:val="69E96FD6"/>
    <w:rsid w:val="69F102F7"/>
    <w:rsid w:val="69F66946"/>
    <w:rsid w:val="6A0B3C7A"/>
    <w:rsid w:val="6A5458DE"/>
    <w:rsid w:val="6A8B62E7"/>
    <w:rsid w:val="6AC95508"/>
    <w:rsid w:val="6B061A90"/>
    <w:rsid w:val="6B625278"/>
    <w:rsid w:val="6B795860"/>
    <w:rsid w:val="6B8E66D0"/>
    <w:rsid w:val="6B9D5166"/>
    <w:rsid w:val="6C2926A9"/>
    <w:rsid w:val="6C555228"/>
    <w:rsid w:val="6D3F227E"/>
    <w:rsid w:val="6D7A6532"/>
    <w:rsid w:val="6DA571F3"/>
    <w:rsid w:val="6DB175BC"/>
    <w:rsid w:val="6DB87B6A"/>
    <w:rsid w:val="6DBD737D"/>
    <w:rsid w:val="6DE37402"/>
    <w:rsid w:val="6E036163"/>
    <w:rsid w:val="6E1B606F"/>
    <w:rsid w:val="6E3645AF"/>
    <w:rsid w:val="6E402643"/>
    <w:rsid w:val="6F245706"/>
    <w:rsid w:val="6F2B6AC3"/>
    <w:rsid w:val="6F3D0FF7"/>
    <w:rsid w:val="6F881820"/>
    <w:rsid w:val="702832D8"/>
    <w:rsid w:val="70527900"/>
    <w:rsid w:val="708A01E9"/>
    <w:rsid w:val="70910BA8"/>
    <w:rsid w:val="70E446D1"/>
    <w:rsid w:val="70E84DB1"/>
    <w:rsid w:val="71225A1B"/>
    <w:rsid w:val="71586A19"/>
    <w:rsid w:val="715C23F9"/>
    <w:rsid w:val="71A063FC"/>
    <w:rsid w:val="71BB4060"/>
    <w:rsid w:val="723254A3"/>
    <w:rsid w:val="7248767D"/>
    <w:rsid w:val="72593F45"/>
    <w:rsid w:val="725A3947"/>
    <w:rsid w:val="725E3D7B"/>
    <w:rsid w:val="72B9250C"/>
    <w:rsid w:val="72C55FD1"/>
    <w:rsid w:val="72DB7E8D"/>
    <w:rsid w:val="72F125B2"/>
    <w:rsid w:val="72FE2C0C"/>
    <w:rsid w:val="73762EDB"/>
    <w:rsid w:val="7384078B"/>
    <w:rsid w:val="738F6FEE"/>
    <w:rsid w:val="73AD0BFC"/>
    <w:rsid w:val="74295BB4"/>
    <w:rsid w:val="74532260"/>
    <w:rsid w:val="74550541"/>
    <w:rsid w:val="748C35B8"/>
    <w:rsid w:val="748C7488"/>
    <w:rsid w:val="74A62B24"/>
    <w:rsid w:val="74B35591"/>
    <w:rsid w:val="7506538F"/>
    <w:rsid w:val="759D60BA"/>
    <w:rsid w:val="75FC00E9"/>
    <w:rsid w:val="760B12B3"/>
    <w:rsid w:val="76105BE5"/>
    <w:rsid w:val="763C08D6"/>
    <w:rsid w:val="765F5796"/>
    <w:rsid w:val="76B82B55"/>
    <w:rsid w:val="77350530"/>
    <w:rsid w:val="777F79AC"/>
    <w:rsid w:val="77B345E1"/>
    <w:rsid w:val="78096127"/>
    <w:rsid w:val="782A10E4"/>
    <w:rsid w:val="78742BCA"/>
    <w:rsid w:val="78763492"/>
    <w:rsid w:val="78AA08DE"/>
    <w:rsid w:val="7923254F"/>
    <w:rsid w:val="79424961"/>
    <w:rsid w:val="795C2DE4"/>
    <w:rsid w:val="795E2449"/>
    <w:rsid w:val="795F169C"/>
    <w:rsid w:val="7A9B4AFD"/>
    <w:rsid w:val="7ABC2C65"/>
    <w:rsid w:val="7B0F1D29"/>
    <w:rsid w:val="7B3E4A96"/>
    <w:rsid w:val="7B4E535D"/>
    <w:rsid w:val="7B52184B"/>
    <w:rsid w:val="7B552D88"/>
    <w:rsid w:val="7B7F697F"/>
    <w:rsid w:val="7BA947BA"/>
    <w:rsid w:val="7BCB7664"/>
    <w:rsid w:val="7BD57A3A"/>
    <w:rsid w:val="7BE820AF"/>
    <w:rsid w:val="7C005E48"/>
    <w:rsid w:val="7C3059F2"/>
    <w:rsid w:val="7C3D2105"/>
    <w:rsid w:val="7C8818FC"/>
    <w:rsid w:val="7CE14BE6"/>
    <w:rsid w:val="7CE7453C"/>
    <w:rsid w:val="7CF044F4"/>
    <w:rsid w:val="7D0D2660"/>
    <w:rsid w:val="7D1F130D"/>
    <w:rsid w:val="7D475161"/>
    <w:rsid w:val="7D553192"/>
    <w:rsid w:val="7D6C5F8F"/>
    <w:rsid w:val="7D7036D3"/>
    <w:rsid w:val="7E1308FD"/>
    <w:rsid w:val="7E217161"/>
    <w:rsid w:val="7E3E485B"/>
    <w:rsid w:val="7E505E78"/>
    <w:rsid w:val="7E7538B7"/>
    <w:rsid w:val="7F0D4D2E"/>
    <w:rsid w:val="7F417C72"/>
    <w:rsid w:val="7F5B28E8"/>
    <w:rsid w:val="7F621095"/>
    <w:rsid w:val="7F800765"/>
    <w:rsid w:val="7FBB246B"/>
    <w:rsid w:val="7FD178C3"/>
    <w:rsid w:val="7FF6264F"/>
    <w:rsid w:val="CFDB7537"/>
    <w:rsid w:val="D9BB7256"/>
    <w:rsid w:val="DDACBBE8"/>
    <w:rsid w:val="F4FB86D7"/>
    <w:rsid w:val="FDF3D53E"/>
    <w:rsid w:val="FEFDE2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1"/>
    <w:pPr>
      <w:outlineLvl w:val="3"/>
    </w:pPr>
    <w:rPr>
      <w:rFonts w:ascii="宋体" w:hAnsi="宋体" w:eastAsia="宋体" w:cs="宋体"/>
      <w:b/>
      <w:bCs/>
      <w:sz w:val="32"/>
      <w:szCs w:val="32"/>
    </w:rPr>
  </w:style>
  <w:style w:type="paragraph" w:styleId="6">
    <w:name w:val="heading 5"/>
    <w:basedOn w:val="1"/>
    <w:next w:val="1"/>
    <w:qFormat/>
    <w:uiPriority w:val="1"/>
    <w:pPr>
      <w:spacing w:before="36"/>
      <w:ind w:left="592"/>
      <w:outlineLvl w:val="4"/>
    </w:pPr>
    <w:rPr>
      <w:rFonts w:ascii="仿宋" w:hAnsi="仿宋" w:eastAsia="仿宋" w:cs="仿宋"/>
      <w:b/>
      <w:bCs/>
      <w:sz w:val="24"/>
      <w:szCs w:val="24"/>
    </w:rPr>
  </w:style>
  <w:style w:type="paragraph" w:styleId="7">
    <w:name w:val="heading 6"/>
    <w:basedOn w:val="1"/>
    <w:next w:val="1"/>
    <w:qFormat/>
    <w:uiPriority w:val="1"/>
    <w:pPr>
      <w:spacing w:before="190"/>
      <w:ind w:left="600"/>
      <w:outlineLvl w:val="5"/>
    </w:pPr>
    <w:rPr>
      <w:rFonts w:ascii="宋体" w:hAnsi="宋体" w:eastAsia="宋体" w:cs="宋体"/>
      <w:b/>
      <w:bCs/>
      <w:sz w:val="24"/>
      <w:szCs w:val="24"/>
    </w:rPr>
  </w:style>
  <w:style w:type="paragraph" w:styleId="8">
    <w:name w:val="heading 7"/>
    <w:basedOn w:val="1"/>
    <w:next w:val="1"/>
    <w:qFormat/>
    <w:uiPriority w:val="0"/>
    <w:pPr>
      <w:keepNext/>
      <w:keepLines/>
      <w:spacing w:before="240" w:after="64" w:line="320" w:lineRule="auto"/>
      <w:outlineLvl w:val="6"/>
    </w:pPr>
    <w:rPr>
      <w:rFonts w:ascii="Calibri" w:hAnsi="Calibri"/>
      <w:b/>
      <w:bCs/>
      <w:sz w:val="24"/>
    </w:rPr>
  </w:style>
  <w:style w:type="character" w:default="1" w:styleId="30">
    <w:name w:val="Default Paragraph Font"/>
    <w:qFormat/>
    <w:uiPriority w:val="0"/>
  </w:style>
  <w:style w:type="table" w:default="1" w:styleId="2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9">
    <w:name w:val="Normal Indent"/>
    <w:basedOn w:val="1"/>
    <w:next w:val="10"/>
    <w:link w:val="42"/>
    <w:qFormat/>
    <w:uiPriority w:val="0"/>
    <w:pPr>
      <w:ind w:firstLine="420" w:firstLineChars="200"/>
    </w:pPr>
    <w:rPr>
      <w:rFonts w:ascii="Times New Roman"/>
      <w:kern w:val="2"/>
      <w:sz w:val="21"/>
      <w:szCs w:val="24"/>
    </w:rPr>
  </w:style>
  <w:style w:type="paragraph" w:styleId="10">
    <w:name w:val="Body Text Indent"/>
    <w:basedOn w:val="1"/>
    <w:next w:val="9"/>
    <w:link w:val="43"/>
    <w:qFormat/>
    <w:uiPriority w:val="0"/>
    <w:pPr>
      <w:ind w:firstLine="630"/>
    </w:pPr>
    <w:rPr>
      <w:rFonts w:ascii="Times New Roman"/>
      <w:kern w:val="2"/>
      <w:sz w:val="32"/>
    </w:rPr>
  </w:style>
  <w:style w:type="paragraph" w:styleId="11">
    <w:name w:val="annotation text"/>
    <w:basedOn w:val="1"/>
    <w:link w:val="44"/>
    <w:qFormat/>
    <w:uiPriority w:val="0"/>
    <w:pPr>
      <w:jc w:val="left"/>
    </w:pPr>
    <w:rPr>
      <w:rFonts w:ascii="Times New Roman"/>
      <w:kern w:val="2"/>
      <w:sz w:val="18"/>
    </w:rPr>
  </w:style>
  <w:style w:type="paragraph" w:styleId="12">
    <w:name w:val="Body Text 3"/>
    <w:basedOn w:val="1"/>
    <w:qFormat/>
    <w:uiPriority w:val="0"/>
    <w:pPr>
      <w:spacing w:after="120"/>
    </w:pPr>
    <w:rPr>
      <w:rFonts w:ascii="Calibri" w:hAnsi="Calibri"/>
      <w:sz w:val="16"/>
      <w:szCs w:val="16"/>
    </w:rPr>
  </w:style>
  <w:style w:type="paragraph" w:styleId="13">
    <w:name w:val="Body Text"/>
    <w:basedOn w:val="1"/>
    <w:next w:val="14"/>
    <w:qFormat/>
    <w:uiPriority w:val="0"/>
    <w:pPr>
      <w:numPr>
        <w:ilvl w:val="0"/>
        <w:numId w:val="1"/>
      </w:numPr>
      <w:tabs>
        <w:tab w:val="clear" w:pos="780"/>
      </w:tabs>
      <w:ind w:left="0" w:firstLine="0"/>
    </w:pPr>
    <w:rPr>
      <w:rFonts w:ascii="黑体" w:eastAsia="黑体"/>
      <w:sz w:val="22"/>
    </w:rPr>
  </w:style>
  <w:style w:type="paragraph" w:styleId="14">
    <w:name w:val="Body Text First Indent"/>
    <w:basedOn w:val="13"/>
    <w:qFormat/>
    <w:uiPriority w:val="99"/>
    <w:pPr>
      <w:tabs>
        <w:tab w:val="left" w:pos="780"/>
      </w:tabs>
      <w:spacing w:after="120"/>
      <w:ind w:firstLine="420" w:firstLineChars="100"/>
    </w:pPr>
  </w:style>
  <w:style w:type="paragraph" w:styleId="15">
    <w:name w:val="Plain Text"/>
    <w:basedOn w:val="1"/>
    <w:link w:val="45"/>
    <w:qFormat/>
    <w:uiPriority w:val="0"/>
    <w:pPr>
      <w:autoSpaceDE w:val="0"/>
      <w:autoSpaceDN w:val="0"/>
      <w:adjustRightInd w:val="0"/>
    </w:pPr>
    <w:rPr>
      <w:rFonts w:hAnsi="Tms Rmn"/>
      <w:sz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46"/>
    <w:qFormat/>
    <w:uiPriority w:val="0"/>
    <w:pPr>
      <w:tabs>
        <w:tab w:val="center" w:pos="4153"/>
        <w:tab w:val="right" w:pos="8306"/>
      </w:tabs>
      <w:snapToGrid w:val="0"/>
      <w:jc w:val="left"/>
    </w:pPr>
    <w:rPr>
      <w:rFonts w:ascii="Times New Roman"/>
      <w:kern w:val="2"/>
      <w:sz w:val="18"/>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20">
    <w:name w:val="toc 1"/>
    <w:basedOn w:val="1"/>
    <w:next w:val="1"/>
    <w:qFormat/>
    <w:uiPriority w:val="0"/>
  </w:style>
  <w:style w:type="paragraph" w:styleId="21">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2">
    <w:name w:val="Body Text Indent 3"/>
    <w:basedOn w:val="1"/>
    <w:link w:val="48"/>
    <w:qFormat/>
    <w:uiPriority w:val="0"/>
    <w:pPr>
      <w:spacing w:after="120"/>
      <w:ind w:left="420" w:leftChars="200"/>
    </w:pPr>
    <w:rPr>
      <w:rFonts w:ascii="Times New Roman"/>
      <w:kern w:val="2"/>
      <w:sz w:val="16"/>
      <w:szCs w:val="16"/>
    </w:rPr>
  </w:style>
  <w:style w:type="paragraph" w:styleId="23">
    <w:name w:val="toc 2"/>
    <w:basedOn w:val="1"/>
    <w:next w:val="1"/>
    <w:qFormat/>
    <w:uiPriority w:val="0"/>
    <w:pPr>
      <w:ind w:left="420" w:leftChars="200"/>
    </w:pPr>
  </w:style>
  <w:style w:type="paragraph" w:styleId="24">
    <w:name w:val="Body Text 2"/>
    <w:basedOn w:val="1"/>
    <w:next w:val="1"/>
    <w:qFormat/>
    <w:uiPriority w:val="0"/>
    <w:pPr>
      <w:widowControl/>
      <w:spacing w:after="120" w:line="480" w:lineRule="auto"/>
      <w:ind w:firstLine="420"/>
      <w:jc w:val="left"/>
    </w:pPr>
    <w:rPr>
      <w:rFonts w:cs="宋体"/>
      <w:sz w:val="24"/>
      <w:szCs w:val="20"/>
    </w:rPr>
  </w:style>
  <w:style w:type="paragraph" w:styleId="2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6">
    <w:name w:val="annotation subject"/>
    <w:basedOn w:val="11"/>
    <w:next w:val="11"/>
    <w:link w:val="49"/>
    <w:qFormat/>
    <w:uiPriority w:val="0"/>
    <w:rPr>
      <w:b/>
      <w:bCs/>
      <w:sz w:val="21"/>
      <w:szCs w:val="24"/>
    </w:rPr>
  </w:style>
  <w:style w:type="paragraph" w:styleId="27">
    <w:name w:val="Body Text First Indent 2"/>
    <w:basedOn w:val="10"/>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qFormat/>
    <w:uiPriority w:val="0"/>
  </w:style>
  <w:style w:type="character" w:styleId="35">
    <w:name w:val="HTML Definition"/>
    <w:qFormat/>
    <w:uiPriority w:val="0"/>
  </w:style>
  <w:style w:type="character" w:styleId="36">
    <w:name w:val="HTML Variable"/>
    <w:qFormat/>
    <w:uiPriority w:val="0"/>
  </w:style>
  <w:style w:type="character" w:styleId="37">
    <w:name w:val="Hyperlink"/>
    <w:qFormat/>
    <w:uiPriority w:val="0"/>
    <w:rPr>
      <w:color w:val="333333"/>
      <w:u w:val="none"/>
    </w:rPr>
  </w:style>
  <w:style w:type="character" w:styleId="38">
    <w:name w:val="HTML Code"/>
    <w:qFormat/>
    <w:uiPriority w:val="0"/>
    <w:rPr>
      <w:rFonts w:ascii="Courier New" w:hAnsi="Courier New"/>
      <w:sz w:val="20"/>
    </w:rPr>
  </w:style>
  <w:style w:type="character" w:styleId="39">
    <w:name w:val="annotation reference"/>
    <w:basedOn w:val="30"/>
    <w:qFormat/>
    <w:uiPriority w:val="0"/>
    <w:rPr>
      <w:sz w:val="21"/>
      <w:szCs w:val="21"/>
    </w:rPr>
  </w:style>
  <w:style w:type="character" w:styleId="40">
    <w:name w:val="HTML Cite"/>
    <w:qFormat/>
    <w:uiPriority w:val="0"/>
  </w:style>
  <w:style w:type="character" w:customStyle="1" w:styleId="41">
    <w:name w:val="标题 1 Char"/>
    <w:link w:val="2"/>
    <w:qFormat/>
    <w:uiPriority w:val="0"/>
    <w:rPr>
      <w:b/>
      <w:bCs/>
      <w:kern w:val="44"/>
      <w:sz w:val="44"/>
      <w:szCs w:val="44"/>
    </w:rPr>
  </w:style>
  <w:style w:type="character" w:customStyle="1" w:styleId="42">
    <w:name w:val="正文缩进 Char"/>
    <w:link w:val="9"/>
    <w:qFormat/>
    <w:uiPriority w:val="0"/>
    <w:rPr>
      <w:rFonts w:eastAsia="宋体"/>
      <w:kern w:val="2"/>
      <w:sz w:val="21"/>
      <w:szCs w:val="24"/>
      <w:lang w:val="en-US" w:eastAsia="zh-CN" w:bidi="ar-SA"/>
    </w:rPr>
  </w:style>
  <w:style w:type="character" w:customStyle="1" w:styleId="43">
    <w:name w:val="正文文本缩进 Char"/>
    <w:link w:val="10"/>
    <w:qFormat/>
    <w:uiPriority w:val="0"/>
    <w:rPr>
      <w:rFonts w:eastAsia="宋体"/>
      <w:kern w:val="2"/>
      <w:sz w:val="32"/>
      <w:lang w:val="en-US" w:eastAsia="zh-CN" w:bidi="ar-SA"/>
    </w:rPr>
  </w:style>
  <w:style w:type="character" w:customStyle="1" w:styleId="44">
    <w:name w:val="批注文字 Char"/>
    <w:link w:val="11"/>
    <w:qFormat/>
    <w:uiPriority w:val="0"/>
    <w:rPr>
      <w:kern w:val="2"/>
      <w:sz w:val="18"/>
      <w:lang w:bidi="ar-SA"/>
    </w:rPr>
  </w:style>
  <w:style w:type="character" w:customStyle="1" w:styleId="45">
    <w:name w:val="纯文本 Char"/>
    <w:link w:val="15"/>
    <w:qFormat/>
    <w:uiPriority w:val="0"/>
    <w:rPr>
      <w:rFonts w:ascii="宋体" w:hAnsi="Tms Rmn" w:eastAsia="宋体"/>
      <w:sz w:val="21"/>
      <w:lang w:val="en-US" w:eastAsia="zh-CN" w:bidi="ar-SA"/>
    </w:rPr>
  </w:style>
  <w:style w:type="character" w:customStyle="1" w:styleId="46">
    <w:name w:val="页脚 Char"/>
    <w:link w:val="18"/>
    <w:qFormat/>
    <w:uiPriority w:val="0"/>
    <w:rPr>
      <w:rFonts w:eastAsia="宋体"/>
      <w:kern w:val="2"/>
      <w:sz w:val="18"/>
      <w:lang w:val="en-US" w:eastAsia="zh-CN" w:bidi="ar-SA"/>
    </w:rPr>
  </w:style>
  <w:style w:type="character" w:customStyle="1" w:styleId="47">
    <w:name w:val="页眉 Char"/>
    <w:link w:val="19"/>
    <w:qFormat/>
    <w:uiPriority w:val="0"/>
    <w:rPr>
      <w:rFonts w:eastAsia="宋体"/>
      <w:kern w:val="2"/>
      <w:sz w:val="18"/>
      <w:lang w:val="en-US" w:eastAsia="zh-CN" w:bidi="ar-SA"/>
    </w:rPr>
  </w:style>
  <w:style w:type="character" w:customStyle="1" w:styleId="48">
    <w:name w:val="正文文本缩进 3 Char"/>
    <w:link w:val="22"/>
    <w:qFormat/>
    <w:uiPriority w:val="0"/>
    <w:rPr>
      <w:kern w:val="2"/>
      <w:sz w:val="16"/>
      <w:szCs w:val="16"/>
    </w:rPr>
  </w:style>
  <w:style w:type="character" w:customStyle="1" w:styleId="49">
    <w:name w:val="批注主题 Char"/>
    <w:link w:val="26"/>
    <w:qFormat/>
    <w:uiPriority w:val="0"/>
    <w:rPr>
      <w:b/>
      <w:bCs/>
      <w:kern w:val="2"/>
      <w:sz w:val="21"/>
      <w:szCs w:val="24"/>
      <w:lang w:bidi="ar-SA"/>
    </w:rPr>
  </w:style>
  <w:style w:type="character" w:customStyle="1" w:styleId="50">
    <w:name w:val="font81"/>
    <w:basedOn w:val="30"/>
    <w:qFormat/>
    <w:uiPriority w:val="99"/>
    <w:rPr>
      <w:rFonts w:ascii="NAOCCG + SimSun" w:hAnsi="NAOCCG + SimSun" w:eastAsia="Times New Roman" w:cs="NAOCCG + SimSun"/>
      <w:color w:val="000000"/>
      <w:sz w:val="20"/>
      <w:szCs w:val="20"/>
      <w:u w:val="none"/>
    </w:rPr>
  </w:style>
  <w:style w:type="character" w:customStyle="1" w:styleId="51">
    <w:name w:val="font91"/>
    <w:qFormat/>
    <w:uiPriority w:val="0"/>
    <w:rPr>
      <w:rFonts w:hint="eastAsia" w:ascii="宋体" w:hAnsi="宋体" w:eastAsia="宋体" w:cs="宋体"/>
      <w:color w:val="000000"/>
      <w:sz w:val="20"/>
      <w:szCs w:val="20"/>
      <w:u w:val="none"/>
    </w:rPr>
  </w:style>
  <w:style w:type="character" w:customStyle="1" w:styleId="52">
    <w:name w:val="label"/>
    <w:qFormat/>
    <w:uiPriority w:val="0"/>
    <w:rPr>
      <w:color w:val="555555"/>
    </w:rPr>
  </w:style>
  <w:style w:type="character" w:customStyle="1" w:styleId="53">
    <w:name w:val="img"/>
    <w:basedOn w:val="30"/>
    <w:qFormat/>
    <w:uiPriority w:val="0"/>
  </w:style>
  <w:style w:type="character" w:customStyle="1" w:styleId="54">
    <w:name w:val=" Char Char9"/>
    <w:qFormat/>
    <w:uiPriority w:val="0"/>
    <w:rPr>
      <w:kern w:val="2"/>
      <w:sz w:val="21"/>
    </w:rPr>
  </w:style>
  <w:style w:type="character" w:customStyle="1" w:styleId="55">
    <w:name w:val="img1"/>
    <w:basedOn w:val="30"/>
    <w:qFormat/>
    <w:uiPriority w:val="0"/>
  </w:style>
  <w:style w:type="character" w:customStyle="1" w:styleId="56">
    <w:name w:val="font101"/>
    <w:qFormat/>
    <w:uiPriority w:val="99"/>
    <w:rPr>
      <w:rFonts w:ascii="宋体" w:hAnsi="宋体" w:eastAsia="宋体" w:cs="宋体"/>
      <w:color w:val="000000"/>
      <w:sz w:val="20"/>
      <w:szCs w:val="20"/>
      <w:u w:val="none"/>
    </w:rPr>
  </w:style>
  <w:style w:type="character" w:customStyle="1" w:styleId="57">
    <w:name w:val="批注文字 Char1"/>
    <w:qFormat/>
    <w:uiPriority w:val="0"/>
    <w:rPr>
      <w:kern w:val="2"/>
      <w:sz w:val="18"/>
      <w:lang w:bidi="ar-SA"/>
    </w:rPr>
  </w:style>
  <w:style w:type="character" w:customStyle="1" w:styleId="58">
    <w:name w:val="GW-正文 Char Char"/>
    <w:link w:val="59"/>
    <w:qFormat/>
    <w:uiPriority w:val="0"/>
    <w:rPr>
      <w:rFonts w:eastAsia="仿宋_GB2312"/>
      <w:kern w:val="2"/>
      <w:sz w:val="24"/>
      <w:szCs w:val="24"/>
      <w:lang w:val="en-US" w:eastAsia="zh-CN" w:bidi="ar-SA"/>
    </w:rPr>
  </w:style>
  <w:style w:type="paragraph" w:customStyle="1" w:styleId="59">
    <w:name w:val="GW-正文"/>
    <w:basedOn w:val="1"/>
    <w:link w:val="58"/>
    <w:qFormat/>
    <w:uiPriority w:val="0"/>
    <w:pPr>
      <w:spacing w:line="360" w:lineRule="auto"/>
      <w:ind w:firstLine="200" w:firstLineChars="200"/>
    </w:pPr>
    <w:rPr>
      <w:rFonts w:ascii="Times New Roman" w:eastAsia="仿宋_GB2312"/>
      <w:kern w:val="2"/>
      <w:sz w:val="24"/>
      <w:szCs w:val="24"/>
    </w:rPr>
  </w:style>
  <w:style w:type="character" w:customStyle="1" w:styleId="60">
    <w:name w:val="font11"/>
    <w:qFormat/>
    <w:uiPriority w:val="99"/>
    <w:rPr>
      <w:rFonts w:ascii="Times New Roman" w:hAnsi="Times New Roman" w:cs="Times New Roman"/>
      <w:color w:val="000000"/>
      <w:sz w:val="20"/>
      <w:szCs w:val="20"/>
      <w:u w:val="none"/>
    </w:rPr>
  </w:style>
  <w:style w:type="character" w:customStyle="1" w:styleId="61">
    <w:name w:val="列出段落 Char"/>
    <w:link w:val="62"/>
    <w:qFormat/>
    <w:uiPriority w:val="0"/>
    <w:rPr>
      <w:rFonts w:eastAsia="宋体"/>
      <w:kern w:val="2"/>
      <w:sz w:val="21"/>
      <w:szCs w:val="24"/>
      <w:lang w:val="en-US" w:eastAsia="zh-CN" w:bidi="ar-SA"/>
    </w:rPr>
  </w:style>
  <w:style w:type="paragraph" w:styleId="62">
    <w:name w:val="List Paragraph"/>
    <w:basedOn w:val="1"/>
    <w:link w:val="61"/>
    <w:qFormat/>
    <w:uiPriority w:val="0"/>
    <w:pPr>
      <w:ind w:firstLine="420" w:firstLineChars="200"/>
    </w:pPr>
    <w:rPr>
      <w:rFonts w:ascii="Times New Roman"/>
      <w:kern w:val="2"/>
      <w:sz w:val="21"/>
      <w:szCs w:val="24"/>
    </w:rPr>
  </w:style>
  <w:style w:type="character" w:customStyle="1" w:styleId="63">
    <w:name w:val="font31"/>
    <w:qFormat/>
    <w:uiPriority w:val="99"/>
    <w:rPr>
      <w:rFonts w:ascii="宋体" w:hAnsi="宋体" w:eastAsia="宋体" w:cs="宋体"/>
      <w:color w:val="000000"/>
      <w:sz w:val="20"/>
      <w:szCs w:val="20"/>
      <w:u w:val="none"/>
    </w:rPr>
  </w:style>
  <w:style w:type="character" w:customStyle="1" w:styleId="64">
    <w:name w:val="modifier"/>
    <w:qFormat/>
    <w:uiPriority w:val="0"/>
    <w:rPr>
      <w:color w:val="FF0000"/>
    </w:rPr>
  </w:style>
  <w:style w:type="character" w:customStyle="1" w:styleId="65">
    <w:name w:val="（符号）邀请函中一、"/>
    <w:qFormat/>
    <w:uiPriority w:val="0"/>
    <w:rPr>
      <w:rFonts w:ascii="黑体" w:hAnsi="黑体" w:eastAsia="黑体"/>
      <w:b/>
      <w:bCs/>
      <w:sz w:val="24"/>
    </w:rPr>
  </w:style>
  <w:style w:type="character" w:customStyle="1" w:styleId="66">
    <w:name w:val="font71"/>
    <w:qFormat/>
    <w:uiPriority w:val="99"/>
    <w:rPr>
      <w:rFonts w:ascii="NAOCCG + SimSun" w:hAnsi="NAOCCG + SimSun" w:eastAsia="Times New Roman" w:cs="NAOCCG + SimSun"/>
      <w:color w:val="000000"/>
      <w:sz w:val="18"/>
      <w:szCs w:val="18"/>
      <w:u w:val="none"/>
    </w:rPr>
  </w:style>
  <w:style w:type="character" w:customStyle="1" w:styleId="67">
    <w:name w:val="font01"/>
    <w:qFormat/>
    <w:uiPriority w:val="99"/>
    <w:rPr>
      <w:rFonts w:ascii="宋体" w:hAnsi="宋体" w:eastAsia="宋体" w:cs="宋体"/>
      <w:b/>
      <w:color w:val="FF0000"/>
      <w:sz w:val="22"/>
      <w:szCs w:val="22"/>
      <w:u w:val="none"/>
    </w:rPr>
  </w:style>
  <w:style w:type="character" w:customStyle="1" w:styleId="68">
    <w:name w:val="font41"/>
    <w:unhideWhenUsed/>
    <w:qFormat/>
    <w:uiPriority w:val="0"/>
    <w:rPr>
      <w:rFonts w:hint="eastAsia" w:ascii="宋体" w:hAnsi="宋体" w:eastAsia="宋体"/>
      <w:color w:val="000000"/>
      <w:sz w:val="21"/>
    </w:rPr>
  </w:style>
  <w:style w:type="character" w:customStyle="1" w:styleId="69">
    <w:name w:val="font21"/>
    <w:basedOn w:val="30"/>
    <w:qFormat/>
    <w:uiPriority w:val="99"/>
    <w:rPr>
      <w:rFonts w:ascii="Times New Roman" w:hAnsi="Times New Roman" w:cs="Times New Roman"/>
      <w:color w:val="000000"/>
      <w:sz w:val="20"/>
      <w:szCs w:val="20"/>
      <w:u w:val="none"/>
    </w:rPr>
  </w:style>
  <w:style w:type="paragraph" w:customStyle="1" w:styleId="70">
    <w:name w:val="yrbb1"/>
    <w:basedOn w:val="2"/>
    <w:qFormat/>
    <w:uiPriority w:val="0"/>
    <w:pPr>
      <w:numPr>
        <w:ilvl w:val="0"/>
        <w:numId w:val="2"/>
      </w:numPr>
      <w:spacing w:beforeLines="100" w:after="50" w:line="360" w:lineRule="auto"/>
    </w:pPr>
    <w:rPr>
      <w:rFonts w:eastAsia="黑体"/>
      <w:b w:val="0"/>
      <w:sz w:val="32"/>
    </w:rPr>
  </w:style>
  <w:style w:type="paragraph" w:customStyle="1" w:styleId="71">
    <w:name w:val="正文标准"/>
    <w:basedOn w:val="1"/>
    <w:qFormat/>
    <w:uiPriority w:val="0"/>
    <w:pPr>
      <w:ind w:firstLine="200" w:firstLineChars="200"/>
      <w:jc w:val="left"/>
    </w:pPr>
  </w:style>
  <w:style w:type="paragraph" w:customStyle="1" w:styleId="72">
    <w:name w:val="_Style 71"/>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4">
    <w:name w:val="列出段落1"/>
    <w:basedOn w:val="1"/>
    <w:qFormat/>
    <w:uiPriority w:val="99"/>
    <w:pPr>
      <w:ind w:firstLine="420" w:firstLineChars="200"/>
    </w:pPr>
  </w:style>
  <w:style w:type="paragraph" w:customStyle="1" w:styleId="75">
    <w:name w:val="公文主体"/>
    <w:basedOn w:val="1"/>
    <w:qFormat/>
    <w:uiPriority w:val="0"/>
    <w:pPr>
      <w:spacing w:line="580" w:lineRule="exact"/>
      <w:ind w:firstLine="200" w:firstLineChars="200"/>
    </w:pPr>
    <w:rPr>
      <w:rFonts w:eastAsia="仿宋_GB2312"/>
      <w:sz w:val="32"/>
    </w:rPr>
  </w:style>
  <w:style w:type="paragraph" w:customStyle="1" w:styleId="76">
    <w:name w:val="表格"/>
    <w:basedOn w:val="1"/>
    <w:qFormat/>
    <w:uiPriority w:val="0"/>
    <w:pPr>
      <w:spacing w:line="400" w:lineRule="exact"/>
    </w:pPr>
    <w:rPr>
      <w:sz w:val="24"/>
    </w:rPr>
  </w:style>
  <w:style w:type="paragraph" w:customStyle="1" w:styleId="77">
    <w:name w:val="Table Paragraph"/>
    <w:basedOn w:val="1"/>
    <w:qFormat/>
    <w:uiPriority w:val="99"/>
    <w:rPr>
      <w:rFonts w:ascii="宋体" w:hAnsi="宋体" w:cs="宋体"/>
    </w:rPr>
  </w:style>
  <w:style w:type="paragraph" w:customStyle="1" w:styleId="78">
    <w:name w:val="List Paragraph1"/>
    <w:basedOn w:val="1"/>
    <w:qFormat/>
    <w:uiPriority w:val="99"/>
    <w:pPr>
      <w:ind w:firstLine="200" w:firstLineChars="200"/>
    </w:pPr>
  </w:style>
  <w:style w:type="paragraph" w:customStyle="1" w:styleId="79">
    <w:name w:val="列出段落11"/>
    <w:basedOn w:val="1"/>
    <w:qFormat/>
    <w:uiPriority w:val="99"/>
    <w:pPr>
      <w:ind w:firstLine="420" w:firstLineChars="200"/>
    </w:pPr>
    <w:rPr>
      <w:rFonts w:ascii="Calibri" w:hAnsi="Calibri"/>
    </w:rPr>
  </w:style>
  <w:style w:type="paragraph" w:customStyle="1" w:styleId="80">
    <w:name w:val="_Style 2"/>
    <w:basedOn w:val="1"/>
    <w:qFormat/>
    <w:uiPriority w:val="99"/>
    <w:pPr>
      <w:ind w:firstLine="420" w:firstLineChars="200"/>
    </w:pPr>
    <w:rPr>
      <w:rFonts w:ascii="Calibri" w:hAnsi="Calibri"/>
      <w:szCs w:val="22"/>
    </w:rPr>
  </w:style>
  <w:style w:type="paragraph" w:customStyle="1" w:styleId="81">
    <w:name w:val="1.1.1.1A"/>
    <w:basedOn w:val="1"/>
    <w:qFormat/>
    <w:uiPriority w:val="99"/>
    <w:pPr>
      <w:tabs>
        <w:tab w:val="left" w:pos="1843"/>
      </w:tabs>
      <w:adjustRightInd w:val="0"/>
      <w:spacing w:before="60" w:after="60" w:line="400" w:lineRule="atLeast"/>
      <w:ind w:left="1560" w:right="200" w:hanging="426"/>
    </w:pPr>
    <w:rPr>
      <w:rFonts w:ascii="Arial" w:hAnsi="Arial"/>
      <w:kern w:val="0"/>
      <w:sz w:val="24"/>
      <w:szCs w:val="20"/>
    </w:rPr>
  </w:style>
  <w:style w:type="paragraph" w:customStyle="1" w:styleId="8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4">
    <w:name w:val="列出段落5"/>
    <w:basedOn w:val="1"/>
    <w:qFormat/>
    <w:uiPriority w:val="34"/>
    <w:pPr>
      <w:ind w:firstLine="420" w:firstLineChars="200"/>
    </w:pPr>
  </w:style>
  <w:style w:type="paragraph" w:customStyle="1" w:styleId="85">
    <w:name w:val="样式 首行缩进:  2 字符"/>
    <w:basedOn w:val="1"/>
    <w:qFormat/>
    <w:uiPriority w:val="0"/>
    <w:pPr>
      <w:spacing w:line="400" w:lineRule="exact"/>
      <w:ind w:firstLine="200" w:firstLineChars="200"/>
    </w:pPr>
    <w:rPr>
      <w:rFonts w:cs="宋体"/>
      <w:sz w:val="24"/>
    </w:rPr>
  </w:style>
  <w:style w:type="paragraph" w:customStyle="1" w:styleId="86">
    <w:name w:val="样式9 Char"/>
    <w:basedOn w:val="1"/>
    <w:qFormat/>
    <w:uiPriority w:val="0"/>
    <w:pPr>
      <w:widowControl/>
      <w:spacing w:line="440" w:lineRule="exact"/>
      <w:ind w:firstLine="200" w:firstLineChars="200"/>
      <w:jc w:val="left"/>
    </w:pPr>
    <w:rPr>
      <w:rFonts w:hint="eastAsia"/>
      <w:spacing w:val="6"/>
      <w:sz w:val="24"/>
    </w:rPr>
  </w:style>
  <w:style w:type="paragraph" w:customStyle="1" w:styleId="87">
    <w:name w:val="大标题"/>
    <w:basedOn w:val="75"/>
    <w:next w:val="1"/>
    <w:qFormat/>
    <w:uiPriority w:val="0"/>
    <w:pPr>
      <w:ind w:firstLine="0" w:firstLineChars="0"/>
      <w:jc w:val="center"/>
      <w:outlineLvl w:val="0"/>
    </w:pPr>
    <w:rPr>
      <w:rFonts w:eastAsia="方正小标宋简体"/>
      <w:sz w:val="44"/>
    </w:rPr>
  </w:style>
  <w:style w:type="paragraph" w:customStyle="1" w:styleId="8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0">
    <w:name w:val="列出段落2"/>
    <w:basedOn w:val="1"/>
    <w:qFormat/>
    <w:uiPriority w:val="99"/>
    <w:pPr>
      <w:ind w:firstLine="420" w:firstLineChars="200"/>
    </w:pPr>
  </w:style>
  <w:style w:type="paragraph" w:customStyle="1" w:styleId="91">
    <w:name w:val="Char Char Char Char Char Char Char Char Char Char Char Char Char Char1 Char Char Char Char"/>
    <w:basedOn w:val="1"/>
    <w:qFormat/>
    <w:uiPriority w:val="0"/>
    <w:rPr>
      <w:szCs w:val="21"/>
    </w:rPr>
  </w:style>
  <w:style w:type="paragraph" w:customStyle="1" w:styleId="92">
    <w:name w:val="正文首行缩进两字符"/>
    <w:basedOn w:val="1"/>
    <w:qFormat/>
    <w:uiPriority w:val="0"/>
    <w:pPr>
      <w:spacing w:line="360" w:lineRule="auto"/>
      <w:ind w:firstLine="200" w:firstLineChars="200"/>
    </w:pPr>
  </w:style>
  <w:style w:type="paragraph" w:customStyle="1" w:styleId="93">
    <w:name w:val="yrbb正文"/>
    <w:basedOn w:val="1"/>
    <w:qFormat/>
    <w:uiPriority w:val="0"/>
    <w:pPr>
      <w:spacing w:beforeLines="10" w:afterLines="20" w:line="293" w:lineRule="auto"/>
      <w:ind w:firstLine="200" w:firstLineChars="200"/>
    </w:pPr>
  </w:style>
  <w:style w:type="paragraph" w:customStyle="1" w:styleId="9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_正文段落"/>
    <w:basedOn w:val="1"/>
    <w:qFormat/>
    <w:uiPriority w:val="0"/>
    <w:pPr>
      <w:spacing w:line="360" w:lineRule="auto"/>
    </w:pPr>
    <w:rPr>
      <w:rFonts w:ascii="宋体" w:eastAsia="仿宋_GB2312"/>
      <w:kern w:val="0"/>
      <w:sz w:val="28"/>
    </w:rPr>
  </w:style>
  <w:style w:type="paragraph" w:customStyle="1" w:styleId="96">
    <w:name w:val="p16"/>
    <w:basedOn w:val="1"/>
    <w:qFormat/>
    <w:uiPriority w:val="0"/>
    <w:pPr>
      <w:widowControl/>
      <w:ind w:firstLine="420"/>
    </w:pPr>
    <w:rPr>
      <w:rFonts w:ascii="Calibri" w:hAnsi="Calibri" w:cs="宋体"/>
      <w:kern w:val="0"/>
      <w:szCs w:val="21"/>
    </w:rPr>
  </w:style>
  <w:style w:type="paragraph" w:customStyle="1" w:styleId="9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
    <w:name w:val="yrbb2"/>
    <w:basedOn w:val="3"/>
    <w:qFormat/>
    <w:uiPriority w:val="0"/>
    <w:pPr>
      <w:numPr>
        <w:ilvl w:val="1"/>
        <w:numId w:val="2"/>
      </w:numPr>
      <w:spacing w:before="50" w:afterLines="20" w:line="360" w:lineRule="auto"/>
    </w:pPr>
    <w:rPr>
      <w:rFonts w:eastAsia="楷体" w:cs="Times New Roman"/>
      <w:sz w:val="30"/>
    </w:rPr>
  </w:style>
  <w:style w:type="paragraph" w:customStyle="1" w:styleId="99">
    <w:name w:val="样式 楷体_GB2312 小四 行距: 1.5 倍行距"/>
    <w:basedOn w:val="1"/>
    <w:qFormat/>
    <w:uiPriority w:val="0"/>
    <w:pPr>
      <w:spacing w:line="360" w:lineRule="auto"/>
      <w:ind w:firstLine="200" w:firstLineChars="200"/>
    </w:pPr>
    <w:rPr>
      <w:rFonts w:ascii="楷体_GB2312" w:hAnsi="Calibri" w:eastAsia="楷体_GB2312" w:cs="宋体"/>
      <w:sz w:val="24"/>
      <w:szCs w:val="20"/>
    </w:rPr>
  </w:style>
  <w:style w:type="paragraph" w:customStyle="1" w:styleId="100">
    <w:name w:val="p"/>
    <w:basedOn w:val="1"/>
    <w:qFormat/>
    <w:uiPriority w:val="0"/>
    <w:pPr>
      <w:spacing w:line="525" w:lineRule="atLeast"/>
      <w:ind w:firstLine="375"/>
    </w:pPr>
  </w:style>
  <w:style w:type="paragraph" w:customStyle="1" w:styleId="101">
    <w:name w:val="小四正文"/>
    <w:basedOn w:val="1"/>
    <w:next w:val="1"/>
    <w:qFormat/>
    <w:locked/>
    <w:uiPriority w:val="0"/>
    <w:pPr>
      <w:spacing w:line="360" w:lineRule="auto"/>
      <w:ind w:firstLine="200" w:firstLineChars="200"/>
    </w:pPr>
    <w:rPr>
      <w:rFonts w:ascii="Calibri" w:hAnsi="Calibri"/>
      <w:sz w:val="24"/>
      <w:szCs w:val="28"/>
    </w:rPr>
  </w:style>
  <w:style w:type="paragraph" w:customStyle="1" w:styleId="102">
    <w:name w:val="列出段落3"/>
    <w:basedOn w:val="1"/>
    <w:qFormat/>
    <w:uiPriority w:val="0"/>
    <w:pPr>
      <w:ind w:firstLine="420" w:firstLineChars="200"/>
    </w:pPr>
  </w:style>
  <w:style w:type="paragraph" w:customStyle="1" w:styleId="103">
    <w:name w:val="List Paragraph2"/>
    <w:basedOn w:val="1"/>
    <w:qFormat/>
    <w:uiPriority w:val="34"/>
    <w:pPr>
      <w:ind w:firstLine="420" w:firstLineChars="200"/>
    </w:pPr>
  </w:style>
  <w:style w:type="character" w:customStyle="1" w:styleId="104">
    <w:name w:val="font51"/>
    <w:basedOn w:val="3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55</Pages>
  <Words>12697</Words>
  <Characters>13539</Characters>
  <Lines>1</Lines>
  <Paragraphs>1</Paragraphs>
  <TotalTime>9</TotalTime>
  <ScaleCrop>false</ScaleCrop>
  <LinksUpToDate>false</LinksUpToDate>
  <CharactersWithSpaces>13744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2022-06-16T07:09:00Z</dcterms:created>
  <dc:creator>吴正新</dc:creator>
  <cp:lastModifiedBy>熊跃男</cp:lastModifiedBy>
  <cp:lastPrinted>2018-12-12T22:06:00Z</cp:lastPrinted>
  <dcterms:modified xsi:type="dcterms:W3CDTF">2025-08-20T06:47:24Z</dcterms:modified>
  <dc:title>招标编号：xx政采招[xxxx] xxx号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5E4043E8E3B24F2491B3EE602AB52CCB_13</vt:lpwstr>
  </property>
  <property fmtid="{D5CDD505-2E9C-101B-9397-08002B2CF9AE}" pid="4" name="KSOTemplateDocerSaveRecord">
    <vt:lpwstr>eyJoZGlkIjoiMDVmN2IxNjZkODgyOGM5NTYwNmI4MTlhNzljZWY0NTAiLCJ1c2VySWQiOiIxMjAxNTYzMTM2In0=</vt:lpwstr>
  </property>
</Properties>
</file>